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A" w:rsidRPr="00711ED3" w:rsidRDefault="00DA1B0A"/>
    <w:tbl>
      <w:tblPr>
        <w:tblW w:w="9764" w:type="dxa"/>
        <w:jc w:val="center"/>
        <w:tblCellMar>
          <w:left w:w="0" w:type="dxa"/>
        </w:tblCellMar>
        <w:tblLook w:val="01E0" w:firstRow="1" w:lastRow="1" w:firstColumn="1" w:lastColumn="1" w:noHBand="0" w:noVBand="0"/>
      </w:tblPr>
      <w:tblGrid>
        <w:gridCol w:w="9764"/>
      </w:tblGrid>
      <w:tr w:rsidR="00535BD2" w:rsidRPr="00711ED3" w:rsidTr="00711ED3">
        <w:trPr>
          <w:jc w:val="center"/>
        </w:trPr>
        <w:tc>
          <w:tcPr>
            <w:tcW w:w="9764" w:type="dxa"/>
          </w:tcPr>
          <w:tbl>
            <w:tblPr>
              <w:tblpPr w:leftFromText="141" w:rightFromText="141" w:vertAnchor="text" w:tblpX="-71" w:tblpY="-375"/>
              <w:tblW w:w="9656" w:type="dxa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805"/>
              <w:gridCol w:w="2205"/>
              <w:gridCol w:w="3646"/>
            </w:tblGrid>
            <w:tr w:rsidR="00711ED3" w:rsidRPr="00711ED3" w:rsidTr="000564C3">
              <w:trPr>
                <w:trHeight w:hRule="exact" w:val="1843"/>
              </w:trPr>
              <w:tc>
                <w:tcPr>
                  <w:tcW w:w="3805" w:type="dxa"/>
                  <w:tcBorders>
                    <w:bottom w:val="single" w:sz="4" w:space="0" w:color="auto"/>
                  </w:tcBorders>
                </w:tcPr>
                <w:p w:rsidR="00711ED3" w:rsidRPr="000E2E5D" w:rsidRDefault="00711ED3" w:rsidP="00711ED3">
                  <w:pPr>
                    <w:jc w:val="center"/>
                    <w:rPr>
                      <w:b/>
                    </w:rPr>
                  </w:pPr>
                  <w:r w:rsidRPr="000E2E5D">
                    <w:rPr>
                      <w:b/>
                    </w:rPr>
                    <w:t>Berzence Nagyközség Polgármesterétől</w:t>
                  </w:r>
                </w:p>
                <w:p w:rsidR="00711ED3" w:rsidRPr="000E2E5D" w:rsidRDefault="00711ED3" w:rsidP="00711ED3">
                  <w:pPr>
                    <w:pStyle w:val="Szvegtrzs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2E5D">
                    <w:rPr>
                      <w:rFonts w:ascii="Times New Roman" w:hAnsi="Times New Roman" w:cs="Times New Roman"/>
                      <w:b/>
                    </w:rPr>
                    <w:t>Berzence, Szabadság tér 19.</w:t>
                  </w:r>
                </w:p>
                <w:p w:rsidR="00711ED3" w:rsidRPr="000E2E5D" w:rsidRDefault="00223004" w:rsidP="00711E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Telefon: 82/546</w:t>
                  </w:r>
                  <w:r w:rsidR="00711ED3" w:rsidRPr="000E2E5D">
                    <w:rPr>
                      <w:b/>
                    </w:rPr>
                    <w:t>-091</w:t>
                  </w:r>
                </w:p>
                <w:p w:rsidR="00711ED3" w:rsidRPr="000E2E5D" w:rsidRDefault="00711ED3" w:rsidP="00711ED3">
                  <w:pPr>
                    <w:jc w:val="center"/>
                    <w:rPr>
                      <w:b/>
                    </w:rPr>
                  </w:pPr>
                  <w:r w:rsidRPr="000E2E5D">
                    <w:rPr>
                      <w:b/>
                    </w:rPr>
                    <w:t>e-mail: berzencepolgarmester@gmail.com</w:t>
                  </w:r>
                </w:p>
                <w:p w:rsidR="00711ED3" w:rsidRPr="00711ED3" w:rsidRDefault="00711ED3" w:rsidP="00711ED3">
                  <w:pPr>
                    <w:ind w:right="-6260"/>
                    <w:jc w:val="center"/>
                  </w:pP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711ED3" w:rsidRPr="00711ED3" w:rsidRDefault="00711ED3" w:rsidP="00711ED3">
                  <w:r w:rsidRPr="00711ED3"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08A59BFE" wp14:editId="545E057C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80010</wp:posOffset>
                        </wp:positionV>
                        <wp:extent cx="533400" cy="7823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039"/>
                            <wp:lineTo x="20829" y="21039"/>
                            <wp:lineTo x="20829" y="0"/>
                            <wp:lineTo x="0" y="0"/>
                          </wp:wrapPolygon>
                        </wp:wrapTight>
                        <wp:docPr id="1475072770" name="Kép 1" descr="Berz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8" descr="Berz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782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11ED3" w:rsidRPr="00711ED3" w:rsidRDefault="00711ED3" w:rsidP="00711ED3"/>
              </w:tc>
              <w:tc>
                <w:tcPr>
                  <w:tcW w:w="3646" w:type="dxa"/>
                  <w:tcBorders>
                    <w:bottom w:val="single" w:sz="4" w:space="0" w:color="auto"/>
                  </w:tcBorders>
                </w:tcPr>
                <w:p w:rsidR="00711ED3" w:rsidRPr="000E2E5D" w:rsidRDefault="00711ED3" w:rsidP="00711ED3">
                  <w:pPr>
                    <w:jc w:val="center"/>
                    <w:rPr>
                      <w:b/>
                    </w:rPr>
                  </w:pPr>
                  <w:r w:rsidRPr="000E2E5D">
                    <w:rPr>
                      <w:b/>
                    </w:rPr>
                    <w:t xml:space="preserve">Hivatali kapu: </w:t>
                  </w:r>
                </w:p>
                <w:p w:rsidR="00711ED3" w:rsidRPr="000E2E5D" w:rsidRDefault="00711ED3" w:rsidP="00711ED3">
                  <w:pPr>
                    <w:jc w:val="center"/>
                    <w:rPr>
                      <w:b/>
                    </w:rPr>
                  </w:pPr>
                  <w:r w:rsidRPr="000E2E5D">
                    <w:rPr>
                      <w:b/>
                    </w:rPr>
                    <w:t xml:space="preserve">rövid neve: SJFDI, </w:t>
                  </w:r>
                </w:p>
                <w:p w:rsidR="00711ED3" w:rsidRPr="000E2E5D" w:rsidRDefault="00711ED3" w:rsidP="00711ED3">
                  <w:pPr>
                    <w:jc w:val="center"/>
                    <w:rPr>
                      <w:b/>
                    </w:rPr>
                  </w:pPr>
                  <w:r w:rsidRPr="000E2E5D">
                    <w:rPr>
                      <w:b/>
                    </w:rPr>
                    <w:t xml:space="preserve">KRID </w:t>
                  </w:r>
                </w:p>
                <w:p w:rsidR="00711ED3" w:rsidRPr="00711ED3" w:rsidRDefault="00711ED3" w:rsidP="00711ED3">
                  <w:pPr>
                    <w:jc w:val="center"/>
                  </w:pPr>
                  <w:r w:rsidRPr="000E2E5D">
                    <w:rPr>
                      <w:b/>
                    </w:rPr>
                    <w:t>azonosító: 601024153</w:t>
                  </w:r>
                </w:p>
                <w:p w:rsidR="00711ED3" w:rsidRPr="00711ED3" w:rsidRDefault="00711ED3" w:rsidP="00711ED3"/>
              </w:tc>
            </w:tr>
          </w:tbl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5495"/>
              <w:gridCol w:w="1417"/>
              <w:gridCol w:w="2694"/>
            </w:tblGrid>
            <w:tr w:rsidR="00711ED3" w:rsidRPr="00711ED3" w:rsidTr="000564C3">
              <w:trPr>
                <w:trHeight w:val="541"/>
              </w:trPr>
              <w:tc>
                <w:tcPr>
                  <w:tcW w:w="5495" w:type="dxa"/>
                </w:tcPr>
                <w:p w:rsidR="000E2E5D" w:rsidRDefault="000E2E5D" w:rsidP="00711ED3">
                  <w:pPr>
                    <w:keepLines/>
                    <w:jc w:val="both"/>
                    <w:rPr>
                      <w:b/>
                      <w:u w:val="single"/>
                    </w:rPr>
                  </w:pPr>
                </w:p>
                <w:p w:rsidR="00711ED3" w:rsidRPr="00711ED3" w:rsidRDefault="00711ED3" w:rsidP="00711ED3">
                  <w:pPr>
                    <w:keepLines/>
                    <w:jc w:val="both"/>
                    <w:rPr>
                      <w:b/>
                    </w:rPr>
                  </w:pPr>
                  <w:r w:rsidRPr="000E2E5D">
                    <w:rPr>
                      <w:b/>
                      <w:u w:val="single"/>
                    </w:rPr>
                    <w:t>Ügyiratszám</w:t>
                  </w:r>
                  <w:r w:rsidRPr="00711ED3">
                    <w:rPr>
                      <w:b/>
                    </w:rPr>
                    <w:t>: BER/</w:t>
                  </w:r>
                  <w:r w:rsidR="004721C7">
                    <w:rPr>
                      <w:b/>
                    </w:rPr>
                    <w:t>105-1/</w:t>
                  </w:r>
                  <w:bookmarkStart w:id="0" w:name="_GoBack"/>
                  <w:bookmarkEnd w:id="0"/>
                  <w:r w:rsidRPr="00711ED3">
                    <w:rPr>
                      <w:b/>
                    </w:rPr>
                    <w:t>2025</w:t>
                  </w:r>
                </w:p>
                <w:p w:rsidR="00711ED3" w:rsidRPr="00711ED3" w:rsidRDefault="00711ED3" w:rsidP="00711ED3">
                  <w:pPr>
                    <w:keepLines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711ED3" w:rsidRPr="00711ED3" w:rsidRDefault="00711ED3" w:rsidP="00711ED3">
                  <w:pPr>
                    <w:keepLines/>
                    <w:ind w:left="-384" w:firstLine="384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711ED3" w:rsidRPr="00711ED3" w:rsidRDefault="00711ED3" w:rsidP="00711ED3">
                  <w:pPr>
                    <w:keepLines/>
                    <w:tabs>
                      <w:tab w:val="left" w:pos="2195"/>
                    </w:tabs>
                    <w:ind w:left="-108" w:right="98"/>
                    <w:jc w:val="both"/>
                    <w:rPr>
                      <w:b/>
                    </w:rPr>
                  </w:pPr>
                </w:p>
              </w:tc>
            </w:tr>
          </w:tbl>
          <w:p w:rsidR="00535BD2" w:rsidRPr="00711ED3" w:rsidRDefault="00535BD2" w:rsidP="00304138"/>
        </w:tc>
      </w:tr>
    </w:tbl>
    <w:p w:rsidR="00711ED3" w:rsidRPr="00711ED3" w:rsidRDefault="00711ED3" w:rsidP="00711ED3">
      <w:pPr>
        <w:jc w:val="center"/>
        <w:rPr>
          <w:b/>
          <w:u w:val="single"/>
        </w:rPr>
      </w:pPr>
      <w:r w:rsidRPr="00711ED3">
        <w:rPr>
          <w:b/>
          <w:u w:val="single"/>
        </w:rPr>
        <w:t>E l ő t e r j e s z t é s</w:t>
      </w:r>
    </w:p>
    <w:p w:rsidR="00711ED3" w:rsidRPr="00711ED3" w:rsidRDefault="00711ED3" w:rsidP="00711ED3">
      <w:pPr>
        <w:jc w:val="center"/>
        <w:rPr>
          <w:b/>
        </w:rPr>
      </w:pPr>
    </w:p>
    <w:p w:rsidR="00711ED3" w:rsidRPr="00711ED3" w:rsidRDefault="00711ED3" w:rsidP="00711ED3">
      <w:pPr>
        <w:jc w:val="center"/>
        <w:rPr>
          <w:b/>
        </w:rPr>
      </w:pPr>
      <w:r w:rsidRPr="00711ED3">
        <w:rPr>
          <w:b/>
        </w:rPr>
        <w:t>Berzence Nagyközség Önkormányzata Képviselő-testületének</w:t>
      </w:r>
    </w:p>
    <w:p w:rsidR="00711ED3" w:rsidRPr="00711ED3" w:rsidRDefault="00711ED3" w:rsidP="00711ED3">
      <w:pPr>
        <w:jc w:val="center"/>
        <w:rPr>
          <w:b/>
        </w:rPr>
      </w:pPr>
    </w:p>
    <w:p w:rsidR="00711ED3" w:rsidRPr="00711ED3" w:rsidRDefault="00711ED3" w:rsidP="00711ED3">
      <w:pPr>
        <w:jc w:val="center"/>
        <w:rPr>
          <w:b/>
        </w:rPr>
      </w:pPr>
      <w:r w:rsidRPr="00711ED3">
        <w:rPr>
          <w:b/>
        </w:rPr>
        <w:t>2025. év január hó 28. napján tartandó ülésére</w:t>
      </w:r>
    </w:p>
    <w:p w:rsidR="00711ED3" w:rsidRPr="00711ED3" w:rsidRDefault="00711ED3" w:rsidP="00711ED3">
      <w:pPr>
        <w:jc w:val="center"/>
        <w:rPr>
          <w:i/>
        </w:rPr>
      </w:pPr>
    </w:p>
    <w:p w:rsidR="00711ED3" w:rsidRPr="00711ED3" w:rsidRDefault="0083307A" w:rsidP="00711ED3">
      <w:pPr>
        <w:jc w:val="center"/>
        <w:rPr>
          <w:i/>
        </w:rPr>
      </w:pPr>
      <w:r>
        <w:rPr>
          <w:i/>
        </w:rPr>
        <w:t>7</w:t>
      </w:r>
      <w:r w:rsidR="00711ED3" w:rsidRPr="00711ED3">
        <w:rPr>
          <w:i/>
        </w:rPr>
        <w:t xml:space="preserve">. napirendi pont </w:t>
      </w:r>
    </w:p>
    <w:p w:rsidR="00711ED3" w:rsidRPr="00711ED3" w:rsidRDefault="00711ED3" w:rsidP="00711ED3">
      <w:pPr>
        <w:jc w:val="center"/>
        <w:rPr>
          <w:b/>
        </w:rPr>
      </w:pPr>
    </w:p>
    <w:p w:rsidR="00711ED3" w:rsidRPr="00711ED3" w:rsidRDefault="00711ED3" w:rsidP="0071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711ED3">
        <w:rPr>
          <w:b/>
          <w:u w:val="single"/>
        </w:rPr>
        <w:t>Tárgy</w:t>
      </w:r>
      <w:r w:rsidRPr="00711ED3">
        <w:rPr>
          <w:b/>
        </w:rPr>
        <w:t xml:space="preserve">: </w:t>
      </w:r>
      <w:r>
        <w:rPr>
          <w:b/>
        </w:rPr>
        <w:t xml:space="preserve">Az Önkormányzat </w:t>
      </w:r>
      <w:r w:rsidRPr="00711ED3">
        <w:rPr>
          <w:b/>
        </w:rPr>
        <w:t>2025. évi költségvetés</w:t>
      </w:r>
      <w:r>
        <w:rPr>
          <w:b/>
        </w:rPr>
        <w:t>ének alapjai, szervezési, fejlesztési elképzelések megtárgyalása</w:t>
      </w:r>
      <w:r w:rsidRPr="00711ED3">
        <w:rPr>
          <w:b/>
        </w:rPr>
        <w:t>.</w:t>
      </w:r>
    </w:p>
    <w:p w:rsidR="00711ED3" w:rsidRPr="00711ED3" w:rsidRDefault="00711ED3" w:rsidP="0071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i/>
        </w:rPr>
      </w:pPr>
      <w:r w:rsidRPr="00711ED3">
        <w:rPr>
          <w:b/>
          <w:u w:val="single"/>
        </w:rPr>
        <w:t>Előterjesztő</w:t>
      </w:r>
      <w:r w:rsidRPr="00711ED3">
        <w:rPr>
          <w:b/>
        </w:rPr>
        <w:t>: Keszericze István polgármester</w:t>
      </w:r>
    </w:p>
    <w:p w:rsidR="00711ED3" w:rsidRPr="00711ED3" w:rsidRDefault="00711ED3" w:rsidP="00711ED3">
      <w:pPr>
        <w:jc w:val="center"/>
        <w:rPr>
          <w:b/>
        </w:rPr>
      </w:pPr>
    </w:p>
    <w:p w:rsidR="00711ED3" w:rsidRPr="00711ED3" w:rsidRDefault="00711ED3" w:rsidP="00711ED3">
      <w:pPr>
        <w:rPr>
          <w:b/>
        </w:rPr>
      </w:pPr>
    </w:p>
    <w:p w:rsidR="00711ED3" w:rsidRPr="00711ED3" w:rsidRDefault="00711ED3" w:rsidP="00711ED3">
      <w:pPr>
        <w:rPr>
          <w:b/>
        </w:rPr>
      </w:pPr>
      <w:r w:rsidRPr="00711ED3">
        <w:rPr>
          <w:b/>
        </w:rPr>
        <w:t xml:space="preserve">Tisztelt Képviselő-testület! </w:t>
      </w:r>
    </w:p>
    <w:p w:rsidR="00711ED3" w:rsidRPr="00711ED3" w:rsidRDefault="00711ED3" w:rsidP="00711ED3"/>
    <w:p w:rsidR="0007343E" w:rsidRPr="00711ED3" w:rsidRDefault="00CB40CF" w:rsidP="00CB40CF">
      <w:pPr>
        <w:autoSpaceDE w:val="0"/>
        <w:autoSpaceDN w:val="0"/>
        <w:adjustRightInd w:val="0"/>
        <w:spacing w:before="120"/>
        <w:jc w:val="both"/>
      </w:pPr>
      <w:r w:rsidRPr="00711ED3">
        <w:t>A</w:t>
      </w:r>
      <w:r w:rsidR="0012011E" w:rsidRPr="00711ED3">
        <w:t xml:space="preserve">z államháztartásról szóló 2011. évi CXCV törvény </w:t>
      </w:r>
      <w:r w:rsidR="006414A4" w:rsidRPr="00711ED3">
        <w:t>24. § (1) bekezdésének 2014. szeptemberi hatályon kívül helyezése megszűntette a</w:t>
      </w:r>
      <w:r w:rsidRPr="00711ED3">
        <w:t xml:space="preserve"> költségvetési </w:t>
      </w:r>
      <w:proofErr w:type="gramStart"/>
      <w:r w:rsidRPr="00711ED3">
        <w:t>koncepció</w:t>
      </w:r>
      <w:proofErr w:type="gramEnd"/>
      <w:r w:rsidRPr="00711ED3">
        <w:t xml:space="preserve"> benyújtására vonatkozó </w:t>
      </w:r>
      <w:r w:rsidR="006414A4" w:rsidRPr="00711ED3">
        <w:t xml:space="preserve">előírást. </w:t>
      </w:r>
      <w:r w:rsidR="0007343E" w:rsidRPr="00711ED3">
        <w:t>Ennek ellenére célszerű a költségvetési rendelet összeállításának irányait, főbb szempontjait annak érdekében meghatározni, hogy a beterjesztésre kerülő előirányzatok a biztonságos működés mellett a képviselő-testület által megfogalmazott célok, feladatok megvalósítását szolgálják.</w:t>
      </w:r>
    </w:p>
    <w:p w:rsidR="00CB40CF" w:rsidRPr="00711ED3" w:rsidRDefault="001572AE" w:rsidP="00CB40CF">
      <w:pPr>
        <w:autoSpaceDE w:val="0"/>
        <w:autoSpaceDN w:val="0"/>
        <w:adjustRightInd w:val="0"/>
        <w:spacing w:before="120"/>
        <w:jc w:val="both"/>
      </w:pPr>
      <w:r w:rsidRPr="00711ED3">
        <w:t xml:space="preserve">Jelen </w:t>
      </w:r>
      <w:r w:rsidR="00711ED3">
        <w:t>előterjesztés</w:t>
      </w:r>
      <w:r w:rsidR="006A37A8" w:rsidRPr="00711ED3">
        <w:t xml:space="preserve"> elsődleges célja a 202</w:t>
      </w:r>
      <w:r w:rsidR="006967B5" w:rsidRPr="00711ED3">
        <w:t>5</w:t>
      </w:r>
      <w:r w:rsidRPr="00711ED3">
        <w:t xml:space="preserve">. évi költségvetés megalkotásához szükséges alapelvek, főbb célok meghatározása, </w:t>
      </w:r>
      <w:r w:rsidR="00711ED3">
        <w:t>mely keretet szolgáltat a február</w:t>
      </w:r>
      <w:r w:rsidRPr="00711ED3">
        <w:t>ban benyújtásra kerülő költségvetési javaslat előkészítéséhez.</w:t>
      </w:r>
    </w:p>
    <w:p w:rsidR="00E60934" w:rsidRPr="00711ED3" w:rsidRDefault="00DF774B" w:rsidP="00DF774B">
      <w:pPr>
        <w:autoSpaceDE w:val="0"/>
        <w:autoSpaceDN w:val="0"/>
        <w:adjustRightInd w:val="0"/>
        <w:spacing w:before="120"/>
        <w:jc w:val="both"/>
      </w:pPr>
      <w:r w:rsidRPr="00711ED3">
        <w:t>Az önkormányz</w:t>
      </w:r>
      <w:r w:rsidR="006A37A8" w:rsidRPr="00711ED3">
        <w:t xml:space="preserve">atok központi </w:t>
      </w:r>
      <w:proofErr w:type="gramStart"/>
      <w:r w:rsidR="006A37A8" w:rsidRPr="00711ED3">
        <w:t>finanszírozása</w:t>
      </w:r>
      <w:proofErr w:type="gramEnd"/>
      <w:r w:rsidR="006A37A8" w:rsidRPr="00711ED3">
        <w:t xml:space="preserve"> 202</w:t>
      </w:r>
      <w:r w:rsidR="006967B5" w:rsidRPr="00711ED3">
        <w:t>5</w:t>
      </w:r>
      <w:r w:rsidRPr="00711ED3">
        <w:t>. évben is az önkormányzati</w:t>
      </w:r>
      <w:r w:rsidR="00B07FC6" w:rsidRPr="00711ED3">
        <w:t xml:space="preserve"> </w:t>
      </w:r>
      <w:r w:rsidRPr="00711ED3">
        <w:t>feladatellátáshoz igazodó, feladatalapú támogatási rendszerben történik.</w:t>
      </w:r>
    </w:p>
    <w:p w:rsidR="00C065B2" w:rsidRDefault="00C065B2" w:rsidP="00DF774B">
      <w:pPr>
        <w:autoSpaceDE w:val="0"/>
        <w:autoSpaceDN w:val="0"/>
        <w:adjustRightInd w:val="0"/>
        <w:spacing w:before="120"/>
        <w:jc w:val="both"/>
      </w:pPr>
      <w:r>
        <w:t>2024. december 20</w:t>
      </w:r>
      <w:r w:rsidR="00D6046E" w:rsidRPr="00711ED3">
        <w:t xml:space="preserve">. napján </w:t>
      </w:r>
      <w:r w:rsidR="004C2C81">
        <w:t xml:space="preserve">az országgyűlés elfogadta a 2024. évi </w:t>
      </w:r>
      <w:r>
        <w:t xml:space="preserve">XC. törvényt </w:t>
      </w:r>
      <w:r w:rsidR="00D6046E" w:rsidRPr="00711ED3">
        <w:t>M</w:t>
      </w:r>
      <w:r w:rsidR="00461574" w:rsidRPr="00711ED3">
        <w:t>agyarország 202</w:t>
      </w:r>
      <w:r w:rsidR="00D6046E" w:rsidRPr="00711ED3">
        <w:t>5</w:t>
      </w:r>
      <w:r w:rsidR="00DF774B" w:rsidRPr="00711ED3">
        <w:t>. évi közp</w:t>
      </w:r>
      <w:r w:rsidR="002474AC" w:rsidRPr="00711ED3">
        <w:t>onti költségvetéséről</w:t>
      </w:r>
      <w:r w:rsidR="00DF774B" w:rsidRPr="00711ED3">
        <w:t>. A törvény 2. melléklete a helyi önkormányzatok működésének általános támogatását, a 3. melléklet a helyi önkormányzatok kiegészítő támogatásainak területét, mértéket határozza meg.</w:t>
      </w:r>
    </w:p>
    <w:p w:rsidR="008F6D17" w:rsidRDefault="00C065B2" w:rsidP="00DF774B">
      <w:pPr>
        <w:autoSpaceDE w:val="0"/>
        <w:autoSpaceDN w:val="0"/>
        <w:adjustRightInd w:val="0"/>
        <w:spacing w:before="120"/>
        <w:jc w:val="both"/>
      </w:pPr>
      <w:r>
        <w:t>A 2025. évi költségvetési törvény 3,2</w:t>
      </w:r>
      <w:r w:rsidR="00941F97">
        <w:t xml:space="preserve"> </w:t>
      </w:r>
      <w:r>
        <w:t>%-</w:t>
      </w:r>
      <w:proofErr w:type="spellStart"/>
      <w:r>
        <w:t>os</w:t>
      </w:r>
      <w:proofErr w:type="spellEnd"/>
      <w:r>
        <w:t xml:space="preserve"> általános inflációval számol. A Versenyszféra és a Kormány Állandó Konzultációs Fórumának </w:t>
      </w:r>
      <w:r w:rsidR="00941F97">
        <w:t xml:space="preserve">2024. november 25.-i megállapodása alapján 2025. január 1-től a teljes munkaidőben foglalkoztatott munkavállalók esetében a havi minimálbér összege 290.800,- Ft, a legalább középfokú iskolai végzettséggel, vagy középfokú szakképzettséget igénylő munkakörben foglalkoztatott munkavállalók részére alapbérként megállapított </w:t>
      </w:r>
      <w:proofErr w:type="gramStart"/>
      <w:r w:rsidR="00941F97">
        <w:t>garantált</w:t>
      </w:r>
      <w:proofErr w:type="gramEnd"/>
      <w:r w:rsidR="00941F97">
        <w:t xml:space="preserve"> bérminimum a teljes munkaidő teljesítése esetén havi 348.800,- Ft lett. Ez százalékosan azt jelenti, hogy 2025. január 1-től a minimálbér 9 %-kal, a </w:t>
      </w:r>
      <w:proofErr w:type="gramStart"/>
      <w:r w:rsidR="00941F97">
        <w:t>garantált</w:t>
      </w:r>
      <w:proofErr w:type="gramEnd"/>
      <w:r w:rsidR="00941F97">
        <w:t xml:space="preserve"> bérminimum 7 %-kal emelkedett. A munkaadók által fizetendő szociális hozzájárulási adó mértéke 2025-ben is 13% maradt.</w:t>
      </w:r>
      <w:r w:rsidR="008F6D17">
        <w:t xml:space="preserve"> </w:t>
      </w:r>
    </w:p>
    <w:p w:rsidR="00C065B2" w:rsidRDefault="008F6D17" w:rsidP="00DF774B">
      <w:pPr>
        <w:autoSpaceDE w:val="0"/>
        <w:autoSpaceDN w:val="0"/>
        <w:adjustRightInd w:val="0"/>
        <w:spacing w:before="120"/>
        <w:jc w:val="both"/>
      </w:pPr>
      <w:r>
        <w:lastRenderedPageBreak/>
        <w:t xml:space="preserve">A minimálbér emelése Berzence Nagyközség Önkormányzata, illetve intézményei foglalkoztatottjai közül 4 főt, a </w:t>
      </w:r>
      <w:proofErr w:type="gramStart"/>
      <w:r>
        <w:t>garantált</w:t>
      </w:r>
      <w:proofErr w:type="gramEnd"/>
      <w:r>
        <w:t xml:space="preserve"> bérminimum emelése pedig 8 fő munkavállalót érint. Ezen intézkedés éves szinten önkormányzatunk vonatkozásában a bér és járulék kiadást közel 2,6 millió Ft-tal megemeli.</w:t>
      </w:r>
      <w:r w:rsidR="00722CB9">
        <w:t xml:space="preserve"> </w:t>
      </w:r>
      <w:r w:rsidR="00C065B2">
        <w:t xml:space="preserve"> </w:t>
      </w:r>
      <w:r w:rsidR="00D6046E" w:rsidRPr="00711ED3">
        <w:t xml:space="preserve"> </w:t>
      </w:r>
    </w:p>
    <w:p w:rsidR="009D271A" w:rsidRPr="00711ED3" w:rsidRDefault="00DF774B" w:rsidP="009D271A">
      <w:pPr>
        <w:autoSpaceDE w:val="0"/>
        <w:autoSpaceDN w:val="0"/>
        <w:adjustRightInd w:val="0"/>
        <w:spacing w:before="120"/>
        <w:jc w:val="both"/>
      </w:pPr>
      <w:r w:rsidRPr="00711ED3">
        <w:t xml:space="preserve">A </w:t>
      </w:r>
      <w:r w:rsidR="005A298B" w:rsidRPr="00711ED3">
        <w:t>g</w:t>
      </w:r>
      <w:r w:rsidRPr="00711ED3">
        <w:t>azdálkodás során</w:t>
      </w:r>
      <w:r w:rsidR="00B07FC6" w:rsidRPr="00711ED3">
        <w:t xml:space="preserve"> </w:t>
      </w:r>
      <w:r w:rsidR="00461574" w:rsidRPr="00711ED3">
        <w:t>202</w:t>
      </w:r>
      <w:r w:rsidR="00D6046E" w:rsidRPr="00711ED3">
        <w:t>5</w:t>
      </w:r>
      <w:r w:rsidR="005A298B" w:rsidRPr="00711ED3">
        <w:t>.</w:t>
      </w:r>
      <w:r w:rsidRPr="00711ED3">
        <w:t xml:space="preserve"> évben is az intézményhálózat, a </w:t>
      </w:r>
      <w:r w:rsidR="00722CB9">
        <w:t>település</w:t>
      </w:r>
      <w:r w:rsidRPr="00711ED3">
        <w:t>üzemeltetés</w:t>
      </w:r>
      <w:r w:rsidR="005A298B" w:rsidRPr="00711ED3">
        <w:t xml:space="preserve">ének, </w:t>
      </w:r>
      <w:r w:rsidRPr="00711ED3">
        <w:t>működőképességének megtartása, a 20</w:t>
      </w:r>
      <w:r w:rsidR="000D542D" w:rsidRPr="00711ED3">
        <w:t>2</w:t>
      </w:r>
      <w:r w:rsidR="00D6046E" w:rsidRPr="00711ED3">
        <w:t>4</w:t>
      </w:r>
      <w:r w:rsidRPr="00711ED3">
        <w:t xml:space="preserve">. évről </w:t>
      </w:r>
      <w:r w:rsidR="005A298B" w:rsidRPr="00711ED3">
        <w:t xml:space="preserve">áthúzódó beruházások befejezése kiemelt szerepet játszik. </w:t>
      </w:r>
      <w:r w:rsidR="00722CB9">
        <w:t xml:space="preserve">A </w:t>
      </w:r>
      <w:r w:rsidR="000D542D" w:rsidRPr="00711ED3">
        <w:t>202</w:t>
      </w:r>
      <w:r w:rsidR="00D6046E" w:rsidRPr="00711ED3">
        <w:t>5</w:t>
      </w:r>
      <w:r w:rsidR="00AA4AA3" w:rsidRPr="00711ED3">
        <w:t>. évben a foly</w:t>
      </w:r>
      <w:r w:rsidR="00722CB9">
        <w:t>amatban lévő pályázat</w:t>
      </w:r>
      <w:r w:rsidR="00AA4AA3" w:rsidRPr="00711ED3">
        <w:t xml:space="preserve"> megvalósítása </w:t>
      </w:r>
      <w:r w:rsidR="007A0ED6" w:rsidRPr="00711ED3">
        <w:t>mellett (</w:t>
      </w:r>
      <w:r w:rsidR="00722CB9">
        <w:t>Belterületi vízrendezés Berzencén</w:t>
      </w:r>
      <w:r w:rsidR="007A0ED6" w:rsidRPr="00711ED3">
        <w:t xml:space="preserve">) </w:t>
      </w:r>
      <w:r w:rsidR="00AA4AA3" w:rsidRPr="00711ED3">
        <w:t>elsőbbséget élvez</w:t>
      </w:r>
      <w:r w:rsidR="0099517F">
        <w:t xml:space="preserve"> a külterületi </w:t>
      </w:r>
      <w:r w:rsidR="007A0ED6" w:rsidRPr="00711ED3">
        <w:t>út</w:t>
      </w:r>
      <w:r w:rsidR="0099517F">
        <w:t>felújítás</w:t>
      </w:r>
      <w:r w:rsidR="007A0ED6" w:rsidRPr="00711ED3">
        <w:t xml:space="preserve"> </w:t>
      </w:r>
      <w:r w:rsidR="0099517F">
        <w:t>megindítása</w:t>
      </w:r>
      <w:r w:rsidR="00AA4AA3" w:rsidRPr="00711ED3">
        <w:t xml:space="preserve">, </w:t>
      </w:r>
      <w:r w:rsidR="0099517F">
        <w:t xml:space="preserve">és </w:t>
      </w:r>
      <w:r w:rsidR="00AA4AA3" w:rsidRPr="00711ED3">
        <w:t>az ehhez szükséges anyagi forrás biztosítása</w:t>
      </w:r>
      <w:r w:rsidR="0099517F">
        <w:t>, az együttműködő partnerek megkeresése</w:t>
      </w:r>
      <w:r w:rsidR="009D271A" w:rsidRPr="00711ED3">
        <w:t xml:space="preserve">. A középtávú tervezéshez, további </w:t>
      </w:r>
      <w:r w:rsidR="0099517F">
        <w:t>fejlődéshez szükségszerű a község</w:t>
      </w:r>
      <w:r w:rsidR="009D271A" w:rsidRPr="00711ED3">
        <w:t xml:space="preserve"> érdekét szolgáló gazdasági, turisztikai fejlesztések, zöldterület</w:t>
      </w:r>
      <w:r w:rsidR="0099517F">
        <w:t xml:space="preserve"> fenntartását</w:t>
      </w:r>
      <w:r w:rsidR="000852C4">
        <w:t>, infrastruktúra fejlesztését, felújítását</w:t>
      </w:r>
      <w:r w:rsidR="0099517F">
        <w:t xml:space="preserve"> elősegítő</w:t>
      </w:r>
      <w:r w:rsidR="009D271A" w:rsidRPr="00711ED3">
        <w:t xml:space="preserve"> pályázati lehetőségek felkutatása, lehetőség szerinti elindítása és megvalósítása.</w:t>
      </w:r>
    </w:p>
    <w:p w:rsidR="00575DA4" w:rsidRPr="00711ED3" w:rsidRDefault="00D6046E" w:rsidP="000852C4">
      <w:pPr>
        <w:spacing w:before="120"/>
        <w:jc w:val="both"/>
      </w:pPr>
      <w:r w:rsidRPr="00711ED3">
        <w:t>A 2025</w:t>
      </w:r>
      <w:r w:rsidR="00DC7563" w:rsidRPr="00711ED3">
        <w:t>. évi költségvetés tervezete a takarékossági javaslatok ismere</w:t>
      </w:r>
      <w:r w:rsidR="000852C4">
        <w:t xml:space="preserve">tében kerülhet tervezésre, </w:t>
      </w:r>
      <w:r w:rsidR="00582F5E" w:rsidRPr="00711ED3">
        <w:t>a források a kötelező feladatok ellátására kerüljenek megadásra, önként vállalt feladat kizárólag a fenntartó engedélye után kerülhet tervezésre.</w:t>
      </w:r>
    </w:p>
    <w:p w:rsidR="00932106" w:rsidRPr="00711ED3" w:rsidRDefault="000852C4" w:rsidP="004031E9">
      <w:pPr>
        <w:numPr>
          <w:ilvl w:val="0"/>
          <w:numId w:val="22"/>
        </w:numPr>
        <w:autoSpaceDE w:val="0"/>
        <w:autoSpaceDN w:val="0"/>
        <w:adjustRightInd w:val="0"/>
        <w:spacing w:before="120"/>
        <w:ind w:hanging="480"/>
        <w:jc w:val="both"/>
        <w:rPr>
          <w:b/>
        </w:rPr>
      </w:pPr>
      <w:r>
        <w:rPr>
          <w:b/>
        </w:rPr>
        <w:t>A költségvetést</w:t>
      </w:r>
      <w:r w:rsidR="00932106" w:rsidRPr="00711ED3">
        <w:rPr>
          <w:b/>
        </w:rPr>
        <w:t xml:space="preserve"> meghatározó keretek, alapelvek</w:t>
      </w:r>
    </w:p>
    <w:p w:rsidR="007F0661" w:rsidRPr="00711ED3" w:rsidRDefault="007F0661" w:rsidP="007F0661">
      <w:pPr>
        <w:autoSpaceDE w:val="0"/>
        <w:autoSpaceDN w:val="0"/>
        <w:adjustRightInd w:val="0"/>
        <w:spacing w:before="120"/>
        <w:jc w:val="both"/>
      </w:pPr>
      <w:r w:rsidRPr="00711ED3">
        <w:t xml:space="preserve">A </w:t>
      </w:r>
      <w:r w:rsidRPr="00711ED3">
        <w:rPr>
          <w:bCs/>
        </w:rPr>
        <w:t>2011. évi CLXXXIX. törvény Magyarország helyi önkormányzatairól</w:t>
      </w:r>
      <w:bookmarkStart w:id="1" w:name="foot_1_place"/>
      <w:bookmarkEnd w:id="1"/>
      <w:r w:rsidRPr="00711ED3">
        <w:rPr>
          <w:bCs/>
        </w:rPr>
        <w:t xml:space="preserve"> 116. § alapján </w:t>
      </w:r>
      <w:r w:rsidR="004C4D51" w:rsidRPr="00711ED3">
        <w:rPr>
          <w:bCs/>
        </w:rPr>
        <w:t xml:space="preserve">a </w:t>
      </w:r>
      <w:r w:rsidR="004C4D51" w:rsidRPr="00711ED3">
        <w:t xml:space="preserve">képviselő-testület hosszú távú fejlesztési elképzeléseit gazdasági programban, fejlesztési tervben rögzíti, mely a képviselő-testület megbízatásának időtartamára vagy azt meghaladó időszakra szól. A gazdasági program, fejlesztési terv 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 </w:t>
      </w:r>
    </w:p>
    <w:p w:rsidR="00932106" w:rsidRPr="00711ED3" w:rsidRDefault="004C4D51" w:rsidP="00452D98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711ED3">
        <w:t xml:space="preserve">A gazdasági programot, fejlesztési tervet a képviselő-testület az alakuló ülését követő hat hónapon belül fogadja el, </w:t>
      </w:r>
      <w:r w:rsidRPr="00711ED3">
        <w:rPr>
          <w:bCs/>
        </w:rPr>
        <w:t xml:space="preserve">így jelen </w:t>
      </w:r>
      <w:r w:rsidR="000852C4">
        <w:rPr>
          <w:bCs/>
        </w:rPr>
        <w:t>megalapozó, előzetes költségvetési terv</w:t>
      </w:r>
      <w:r w:rsidR="004031E9" w:rsidRPr="00711ED3">
        <w:t xml:space="preserve"> </w:t>
      </w:r>
      <w:r w:rsidR="000852C4">
        <w:t>már</w:t>
      </w:r>
      <w:r w:rsidR="00D6046E" w:rsidRPr="00711ED3">
        <w:t xml:space="preserve"> </w:t>
      </w:r>
      <w:r w:rsidR="004031E9" w:rsidRPr="00711ED3">
        <w:t>a 20</w:t>
      </w:r>
      <w:r w:rsidR="000852C4">
        <w:t>25</w:t>
      </w:r>
      <w:r w:rsidR="004031E9" w:rsidRPr="00711ED3">
        <w:t>-20</w:t>
      </w:r>
      <w:r w:rsidR="000852C4">
        <w:t>29</w:t>
      </w:r>
      <w:r w:rsidR="004031E9" w:rsidRPr="00711ED3">
        <w:t>. évekre vonatkozó gazdasági pr</w:t>
      </w:r>
      <w:r w:rsidRPr="00711ED3">
        <w:t>ogram</w:t>
      </w:r>
      <w:r w:rsidR="000852C4">
        <w:t xml:space="preserve"> tervezet</w:t>
      </w:r>
      <w:r w:rsidRPr="00711ED3">
        <w:t>b</w:t>
      </w:r>
      <w:r w:rsidR="000852C4">
        <w:t>e</w:t>
      </w:r>
      <w:r w:rsidRPr="00711ED3">
        <w:t>n megfogalmazott célokhoz illeszkedik</w:t>
      </w:r>
      <w:r w:rsidR="00A9141E" w:rsidRPr="00711ED3">
        <w:t>.</w:t>
      </w:r>
    </w:p>
    <w:p w:rsidR="004031E9" w:rsidRPr="00711ED3" w:rsidRDefault="004031E9" w:rsidP="00452D98">
      <w:pPr>
        <w:autoSpaceDE w:val="0"/>
        <w:autoSpaceDN w:val="0"/>
        <w:adjustRightInd w:val="0"/>
        <w:spacing w:before="120"/>
        <w:jc w:val="both"/>
      </w:pPr>
      <w:r w:rsidRPr="00711ED3">
        <w:t>A gazdálkodás fedezetét továbbra is a feladatellátáshoz igazodó, 2013. évben bevezetett feladatalapú támogatási rendszer által biztosított támogatási összeg, valamint a helyi adók beszedéséből származó, illetve működési bevételek összege adja</w:t>
      </w:r>
      <w:r w:rsidR="00A9141E" w:rsidRPr="00711ED3">
        <w:t>.</w:t>
      </w:r>
    </w:p>
    <w:p w:rsidR="00A9141E" w:rsidRPr="00711ED3" w:rsidRDefault="00A9141E" w:rsidP="00452D98">
      <w:pPr>
        <w:autoSpaceDE w:val="0"/>
        <w:autoSpaceDN w:val="0"/>
        <w:adjustRightInd w:val="0"/>
        <w:spacing w:before="120"/>
        <w:jc w:val="both"/>
      </w:pPr>
      <w:r w:rsidRPr="00711ED3">
        <w:t xml:space="preserve">Az Önkormányzat sem </w:t>
      </w:r>
      <w:proofErr w:type="gramStart"/>
      <w:r w:rsidRPr="00711ED3">
        <w:t>likvid</w:t>
      </w:r>
      <w:proofErr w:type="gramEnd"/>
      <w:r w:rsidRPr="00711ED3">
        <w:t>, sem folyószámlahitellel nem rendelkezik, hitelfelvétel a stabilitási törvény alapján továbbra sem tervezhető.</w:t>
      </w:r>
    </w:p>
    <w:p w:rsidR="00A9141E" w:rsidRPr="00711ED3" w:rsidRDefault="00A9141E" w:rsidP="00452D98">
      <w:pPr>
        <w:autoSpaceDE w:val="0"/>
        <w:autoSpaceDN w:val="0"/>
        <w:adjustRightInd w:val="0"/>
        <w:spacing w:before="120"/>
        <w:jc w:val="both"/>
      </w:pPr>
      <w:r w:rsidRPr="00711ED3">
        <w:t>A takarékos gazdálk</w:t>
      </w:r>
      <w:r w:rsidR="000852C4">
        <w:t>odással biztosítani kell a település</w:t>
      </w:r>
      <w:r w:rsidRPr="00711ED3">
        <w:t xml:space="preserve">, az intézmények feladatellátását, </w:t>
      </w:r>
      <w:r w:rsidR="007B7F33" w:rsidRPr="00711ED3">
        <w:t>csak indokolt, képviselő-testület által korábban jóváhagyott esetben tervezhető az előző évi előirányzatnál magasabb összeg</w:t>
      </w:r>
      <w:r w:rsidR="002474AC" w:rsidRPr="00711ED3">
        <w:t>.</w:t>
      </w:r>
    </w:p>
    <w:p w:rsidR="000F01F9" w:rsidRPr="00711ED3" w:rsidRDefault="007B7F33" w:rsidP="00452D98">
      <w:pPr>
        <w:autoSpaceDE w:val="0"/>
        <w:autoSpaceDN w:val="0"/>
        <w:adjustRightInd w:val="0"/>
        <w:spacing w:before="120"/>
        <w:jc w:val="both"/>
      </w:pPr>
      <w:r w:rsidRPr="00711ED3">
        <w:t>Szociális ellátások területén a központi támogatásokon túl a korábbi években kialakult helyi támogatási f</w:t>
      </w:r>
      <w:r w:rsidR="000852C4">
        <w:t>ormák (</w:t>
      </w:r>
      <w:r w:rsidRPr="00711ED3">
        <w:t>rászorulóknak tűzifa biztosítása</w:t>
      </w:r>
      <w:r w:rsidR="004A1596" w:rsidRPr="00711ED3">
        <w:t>, iskolakezdési</w:t>
      </w:r>
      <w:r w:rsidR="000852C4">
        <w:t>, óvodáztatási</w:t>
      </w:r>
      <w:r w:rsidR="004A1596" w:rsidRPr="00711ED3">
        <w:t xml:space="preserve"> támogatás, nyugdíjasok támogatása</w:t>
      </w:r>
      <w:r w:rsidRPr="00711ED3">
        <w:t>)</w:t>
      </w:r>
      <w:r w:rsidR="000F01F9" w:rsidRPr="00711ED3">
        <w:t xml:space="preserve"> megőrzése indokolt.</w:t>
      </w:r>
    </w:p>
    <w:p w:rsidR="00D04E3E" w:rsidRPr="00711ED3" w:rsidRDefault="00D04E3E" w:rsidP="00D04E3E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711ED3">
        <w:rPr>
          <w:bCs/>
        </w:rPr>
        <w:t>A tervezés során biztosítani kell a tervezett bevételek közgazdasági megalapozottságát, és azt, hogy csak annyi kiadás kerüljön megtervezésre, amennyi a közfeladatok ellátásához indokoltan szükséges.</w:t>
      </w:r>
    </w:p>
    <w:p w:rsidR="00D04E3E" w:rsidRPr="00711ED3" w:rsidRDefault="00D04E3E" w:rsidP="00D04E3E">
      <w:pPr>
        <w:pStyle w:val="Cm"/>
        <w:spacing w:before="120"/>
        <w:jc w:val="both"/>
        <w:rPr>
          <w:rFonts w:ascii="Times New Roman" w:hAnsi="Times New Roman"/>
          <w:szCs w:val="24"/>
        </w:rPr>
      </w:pPr>
      <w:r w:rsidRPr="00711ED3">
        <w:rPr>
          <w:rFonts w:ascii="Times New Roman" w:hAnsi="Times New Roman"/>
          <w:szCs w:val="24"/>
        </w:rPr>
        <w:t>Az elmúlt években elért g</w:t>
      </w:r>
      <w:r w:rsidR="000852C4">
        <w:rPr>
          <w:rFonts w:ascii="Times New Roman" w:hAnsi="Times New Roman"/>
          <w:szCs w:val="24"/>
        </w:rPr>
        <w:t xml:space="preserve">azdálkodási eredmények és </w:t>
      </w:r>
      <w:r w:rsidRPr="00711ED3">
        <w:rPr>
          <w:rFonts w:ascii="Times New Roman" w:hAnsi="Times New Roman"/>
          <w:szCs w:val="24"/>
        </w:rPr>
        <w:t>szolgáltatási színvonal megtartása, továbbvitele érdekében a tervezett bevételek és kiadások között mindazokat a bevételeket és kiadásokat kell megtervezni, amelyek az ellátott közfeladatokkal kapcsolatosak, a tapasztalatok alapján rendszeresen előfordulnak, vagy eseti jelleggel várhatóak, jogszabályon alapulnak, vagy az eszközök hasznosításával függenek össze.</w:t>
      </w:r>
    </w:p>
    <w:p w:rsidR="00D04E3E" w:rsidRPr="00711ED3" w:rsidRDefault="004C4D51" w:rsidP="00D04E3E">
      <w:pPr>
        <w:spacing w:before="120"/>
        <w:ind w:right="-6"/>
        <w:jc w:val="both"/>
        <w:outlineLvl w:val="0"/>
      </w:pPr>
      <w:r w:rsidRPr="00711ED3">
        <w:t>A 202</w:t>
      </w:r>
      <w:r w:rsidR="00D6046E" w:rsidRPr="00711ED3">
        <w:t>5</w:t>
      </w:r>
      <w:r w:rsidR="00D04E3E" w:rsidRPr="00711ED3">
        <w:t xml:space="preserve">. évi költségvetési </w:t>
      </w:r>
      <w:r w:rsidR="000852C4">
        <w:t>tervezet</w:t>
      </w:r>
      <w:r w:rsidR="00D04E3E" w:rsidRPr="00711ED3">
        <w:t xml:space="preserve"> összeállításánál az alábbi kiemelt fontosságú szempontok, elvek érvényesítését kell szem előtt tartani:</w:t>
      </w:r>
    </w:p>
    <w:p w:rsidR="00D04E3E" w:rsidRPr="00711ED3" w:rsidRDefault="00D04E3E" w:rsidP="00D04E3E">
      <w:pPr>
        <w:tabs>
          <w:tab w:val="left" w:pos="540"/>
        </w:tabs>
        <w:spacing w:before="120"/>
        <w:ind w:left="540" w:right="-6" w:hanging="540"/>
        <w:jc w:val="both"/>
      </w:pPr>
      <w:r w:rsidRPr="00711ED3">
        <w:t>1.</w:t>
      </w:r>
      <w:r w:rsidRPr="00711ED3">
        <w:tab/>
        <w:t xml:space="preserve">Egyensúlyi költségvetés összeállítása, bevételek megalapozott tervezése, kiadások teljeskörű számbavétele. Adósságot keletkeztető ügyletből származó bevétel, külső </w:t>
      </w:r>
      <w:proofErr w:type="gramStart"/>
      <w:r w:rsidRPr="00711ED3">
        <w:t>finanszírozású</w:t>
      </w:r>
      <w:proofErr w:type="gramEnd"/>
      <w:r w:rsidRPr="00711ED3">
        <w:t xml:space="preserve"> működési hiány nem tervezhető. A bevételek és kiadások egyensúlyát a költségvetés-készítés során meg kell teremteni.</w:t>
      </w:r>
    </w:p>
    <w:p w:rsidR="00D04E3E" w:rsidRPr="00711ED3" w:rsidRDefault="00D04E3E" w:rsidP="00D04E3E">
      <w:pPr>
        <w:tabs>
          <w:tab w:val="left" w:pos="540"/>
        </w:tabs>
        <w:spacing w:before="120"/>
        <w:ind w:left="540" w:right="-6" w:hanging="540"/>
        <w:jc w:val="both"/>
      </w:pPr>
      <w:r w:rsidRPr="00711ED3">
        <w:t>2.</w:t>
      </w:r>
      <w:r w:rsidRPr="00711ED3">
        <w:tab/>
        <w:t>A kiadások tervezése a kötelezően ellátandó feladatok meghatározásával történhet.</w:t>
      </w:r>
    </w:p>
    <w:p w:rsidR="00D04E3E" w:rsidRPr="00711ED3" w:rsidRDefault="00D04E3E" w:rsidP="00D04E3E">
      <w:pPr>
        <w:tabs>
          <w:tab w:val="left" w:pos="540"/>
        </w:tabs>
        <w:spacing w:before="120"/>
        <w:ind w:left="540" w:right="-6" w:hanging="540"/>
        <w:jc w:val="both"/>
      </w:pPr>
      <w:r w:rsidRPr="00711ED3">
        <w:t>3.</w:t>
      </w:r>
      <w:r w:rsidRPr="00711ED3">
        <w:tab/>
        <w:t>Biztosítani kell az önkormányzati szolgáltatások elért színvonalát, a takarékos, hatékony, biztonságos feladatellátás feltételeit.</w:t>
      </w:r>
    </w:p>
    <w:p w:rsidR="00D04E3E" w:rsidRPr="00711ED3" w:rsidRDefault="000852C4" w:rsidP="00D04E3E">
      <w:pPr>
        <w:tabs>
          <w:tab w:val="left" w:pos="540"/>
        </w:tabs>
        <w:spacing w:before="120"/>
        <w:ind w:left="540" w:right="-6" w:hanging="540"/>
        <w:jc w:val="both"/>
      </w:pPr>
      <w:r>
        <w:t>4.</w:t>
      </w:r>
      <w:r>
        <w:tab/>
        <w:t xml:space="preserve">A </w:t>
      </w:r>
      <w:r w:rsidR="00D04E3E" w:rsidRPr="00711ED3">
        <w:t xml:space="preserve">közterületek, </w:t>
      </w:r>
      <w:r>
        <w:t xml:space="preserve">infrastrukturális létesítmények, </w:t>
      </w:r>
      <w:r w:rsidR="00D04E3E" w:rsidRPr="00711ED3">
        <w:t xml:space="preserve">közintézmények </w:t>
      </w:r>
      <w:r w:rsidR="00F855B3">
        <w:t>ésszerű</w:t>
      </w:r>
      <w:r w:rsidR="00D04E3E" w:rsidRPr="00711ED3">
        <w:t xml:space="preserve"> fenntartásával biztosítani kell értékük, színvonaluk megőrzését.</w:t>
      </w:r>
    </w:p>
    <w:p w:rsidR="00D04E3E" w:rsidRPr="00711ED3" w:rsidRDefault="00D04E3E" w:rsidP="00D04E3E">
      <w:pPr>
        <w:pStyle w:val="Szvegtrzs21"/>
        <w:tabs>
          <w:tab w:val="left" w:pos="540"/>
        </w:tabs>
        <w:spacing w:before="120"/>
        <w:ind w:left="540" w:right="-6" w:hanging="540"/>
        <w:rPr>
          <w:szCs w:val="24"/>
        </w:rPr>
      </w:pPr>
      <w:r w:rsidRPr="00711ED3">
        <w:rPr>
          <w:szCs w:val="24"/>
        </w:rPr>
        <w:t xml:space="preserve">5. </w:t>
      </w:r>
      <w:r w:rsidRPr="00711ED3">
        <w:rPr>
          <w:szCs w:val="24"/>
        </w:rPr>
        <w:tab/>
      </w:r>
      <w:r w:rsidR="00582F5E" w:rsidRPr="00711ED3">
        <w:rPr>
          <w:szCs w:val="24"/>
        </w:rPr>
        <w:t xml:space="preserve">Korábbi években </w:t>
      </w:r>
      <w:r w:rsidRPr="00711ED3">
        <w:rPr>
          <w:szCs w:val="24"/>
        </w:rPr>
        <w:t xml:space="preserve">az Önkormányzat vagyonának értékét megőrző-gyarapító felhalmozási </w:t>
      </w:r>
      <w:r w:rsidR="00582F5E" w:rsidRPr="00711ED3">
        <w:rPr>
          <w:szCs w:val="24"/>
        </w:rPr>
        <w:t xml:space="preserve">kiadások </w:t>
      </w:r>
      <w:r w:rsidRPr="00711ED3">
        <w:rPr>
          <w:szCs w:val="24"/>
        </w:rPr>
        <w:t>arány</w:t>
      </w:r>
      <w:r w:rsidR="00582F5E" w:rsidRPr="00711ED3">
        <w:rPr>
          <w:szCs w:val="24"/>
        </w:rPr>
        <w:t>át biztosíto</w:t>
      </w:r>
      <w:r w:rsidR="005C7BEF" w:rsidRPr="00711ED3">
        <w:rPr>
          <w:szCs w:val="24"/>
        </w:rPr>
        <w:t>t</w:t>
      </w:r>
      <w:r w:rsidR="00582F5E" w:rsidRPr="00711ED3">
        <w:rPr>
          <w:szCs w:val="24"/>
        </w:rPr>
        <w:t xml:space="preserve">tuk, </w:t>
      </w:r>
      <w:r w:rsidRPr="00711ED3">
        <w:rPr>
          <w:szCs w:val="24"/>
        </w:rPr>
        <w:t>(zöldfelületek,</w:t>
      </w:r>
      <w:r w:rsidR="00F855B3">
        <w:rPr>
          <w:szCs w:val="24"/>
        </w:rPr>
        <w:t xml:space="preserve"> utak, </w:t>
      </w:r>
      <w:r w:rsidRPr="00711ED3">
        <w:rPr>
          <w:szCs w:val="24"/>
        </w:rPr>
        <w:t>intézmények ter</w:t>
      </w:r>
      <w:r w:rsidR="005C7BEF" w:rsidRPr="00711ED3">
        <w:rPr>
          <w:szCs w:val="24"/>
        </w:rPr>
        <w:t>vszerű felújítása, fejlesztése), az ö</w:t>
      </w:r>
      <w:r w:rsidR="00F64674" w:rsidRPr="00711ED3">
        <w:rPr>
          <w:szCs w:val="24"/>
        </w:rPr>
        <w:t>nerőből történő felhalmozási kiadások nagysága a költségvetés</w:t>
      </w:r>
      <w:r w:rsidR="005C7BEF" w:rsidRPr="00711ED3">
        <w:rPr>
          <w:szCs w:val="24"/>
        </w:rPr>
        <w:t xml:space="preserve"> </w:t>
      </w:r>
      <w:r w:rsidR="00F855B3">
        <w:rPr>
          <w:szCs w:val="24"/>
        </w:rPr>
        <w:t xml:space="preserve">átlagban </w:t>
      </w:r>
      <w:r w:rsidR="005C7BEF" w:rsidRPr="00711ED3">
        <w:rPr>
          <w:szCs w:val="24"/>
        </w:rPr>
        <w:t>közel</w:t>
      </w:r>
      <w:r w:rsidR="00F855B3">
        <w:rPr>
          <w:szCs w:val="24"/>
        </w:rPr>
        <w:t>,</w:t>
      </w:r>
      <w:r w:rsidR="005C7BEF" w:rsidRPr="00711ED3">
        <w:rPr>
          <w:szCs w:val="24"/>
        </w:rPr>
        <w:t xml:space="preserve"> </w:t>
      </w:r>
      <w:r w:rsidR="00F855B3">
        <w:rPr>
          <w:szCs w:val="24"/>
        </w:rPr>
        <w:t>5</w:t>
      </w:r>
      <w:r w:rsidR="00F64674" w:rsidRPr="00711ED3">
        <w:rPr>
          <w:szCs w:val="24"/>
        </w:rPr>
        <w:t xml:space="preserve"> %-át te</w:t>
      </w:r>
      <w:r w:rsidR="00D6046E" w:rsidRPr="00711ED3">
        <w:rPr>
          <w:szCs w:val="24"/>
        </w:rPr>
        <w:t>tte</w:t>
      </w:r>
      <w:r w:rsidR="006203B1" w:rsidRPr="00711ED3">
        <w:rPr>
          <w:szCs w:val="24"/>
        </w:rPr>
        <w:t xml:space="preserve"> ki</w:t>
      </w:r>
      <w:r w:rsidR="005C7BEF" w:rsidRPr="00711ED3">
        <w:rPr>
          <w:szCs w:val="24"/>
        </w:rPr>
        <w:t>.</w:t>
      </w:r>
    </w:p>
    <w:p w:rsidR="00D04E3E" w:rsidRPr="00711ED3" w:rsidRDefault="004C4D51" w:rsidP="00D04E3E">
      <w:pPr>
        <w:autoSpaceDE w:val="0"/>
        <w:autoSpaceDN w:val="0"/>
        <w:adjustRightInd w:val="0"/>
        <w:spacing w:before="120"/>
        <w:jc w:val="both"/>
      </w:pPr>
      <w:r w:rsidRPr="00711ED3">
        <w:t>A</w:t>
      </w:r>
      <w:r w:rsidR="00D515AA" w:rsidRPr="00711ED3">
        <w:t>mennyiben a</w:t>
      </w:r>
      <w:r w:rsidRPr="00711ED3">
        <w:t>z intézményrendszerben 202</w:t>
      </w:r>
      <w:r w:rsidR="00D6046E" w:rsidRPr="00711ED3">
        <w:t>5</w:t>
      </w:r>
      <w:r w:rsidR="0023163B" w:rsidRPr="00711ED3">
        <w:t xml:space="preserve">. évben változás </w:t>
      </w:r>
      <w:proofErr w:type="gramStart"/>
      <w:r w:rsidR="00F855B3">
        <w:t>prognosztizálható</w:t>
      </w:r>
      <w:proofErr w:type="gramEnd"/>
      <w:r w:rsidR="0023163B" w:rsidRPr="00711ED3">
        <w:t xml:space="preserve">, </w:t>
      </w:r>
      <w:r w:rsidR="00D515AA" w:rsidRPr="00711ED3">
        <w:t>a tervezésnél kiemelt figyelmet kell fordítani az ellátandó f</w:t>
      </w:r>
      <w:r w:rsidR="00F855B3">
        <w:t>eladatok helyes meghatározására</w:t>
      </w:r>
      <w:r w:rsidR="00D515AA" w:rsidRPr="00711ED3">
        <w:t>, s a megfelelő fedezet biztosítására. A</w:t>
      </w:r>
      <w:r w:rsidR="0023163B" w:rsidRPr="00711ED3">
        <w:t xml:space="preserve"> B</w:t>
      </w:r>
      <w:r w:rsidR="00F855B3">
        <w:t>erzencei Polgármesteri</w:t>
      </w:r>
      <w:r w:rsidR="0023163B" w:rsidRPr="00711ED3">
        <w:t xml:space="preserve"> Hivatal látja el </w:t>
      </w:r>
      <w:r w:rsidR="00F855B3">
        <w:t>Berzence nagy</w:t>
      </w:r>
      <w:r w:rsidR="0023163B" w:rsidRPr="00711ED3">
        <w:t xml:space="preserve">község, </w:t>
      </w:r>
      <w:r w:rsidR="00F855B3">
        <w:t>valamint az általa</w:t>
      </w:r>
      <w:r w:rsidR="0023163B" w:rsidRPr="00711ED3">
        <w:t xml:space="preserve"> fenntartott költségvetési szervek gazdálkodási és pénzügyi feladatait.</w:t>
      </w:r>
    </w:p>
    <w:p w:rsidR="0023163B" w:rsidRPr="00711ED3" w:rsidRDefault="0023163B" w:rsidP="00D04E3E">
      <w:pPr>
        <w:autoSpaceDE w:val="0"/>
        <w:autoSpaceDN w:val="0"/>
        <w:adjustRightInd w:val="0"/>
        <w:spacing w:before="120"/>
        <w:jc w:val="both"/>
      </w:pPr>
    </w:p>
    <w:p w:rsidR="002F4466" w:rsidRPr="00711ED3" w:rsidRDefault="002F4466" w:rsidP="002F4466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b/>
        </w:rPr>
      </w:pPr>
      <w:r w:rsidRPr="00711ED3">
        <w:rPr>
          <w:b/>
        </w:rPr>
        <w:t>Jogszabályi háttér</w:t>
      </w:r>
    </w:p>
    <w:p w:rsidR="00B07C9E" w:rsidRPr="00711ED3" w:rsidRDefault="00B07C9E" w:rsidP="00A57011">
      <w:pPr>
        <w:autoSpaceDE w:val="0"/>
        <w:autoSpaceDN w:val="0"/>
        <w:adjustRightInd w:val="0"/>
        <w:spacing w:before="120"/>
        <w:jc w:val="both"/>
      </w:pPr>
    </w:p>
    <w:p w:rsidR="00B07C9E" w:rsidRPr="00711ED3" w:rsidRDefault="00B07C9E" w:rsidP="00A57011">
      <w:pPr>
        <w:autoSpaceDE w:val="0"/>
        <w:autoSpaceDN w:val="0"/>
        <w:adjustRightInd w:val="0"/>
        <w:spacing w:before="120"/>
        <w:jc w:val="both"/>
      </w:pPr>
      <w:r w:rsidRPr="00711ED3">
        <w:t xml:space="preserve">Navracsics Tibor </w:t>
      </w:r>
      <w:proofErr w:type="gramStart"/>
      <w:r w:rsidRPr="00711ED3">
        <w:t>2024. októberében</w:t>
      </w:r>
      <w:proofErr w:type="gramEnd"/>
      <w:r w:rsidRPr="00711ED3">
        <w:t xml:space="preserve"> bejelentette a „Versenyképes Járások Programot”. A részletek még nem ismertek, csak annyi, hogy az iparűzési adó 2025. évi többlete kerülne be a területfejlesztési alapba és válna visszapályázhatóvá a járások által. Ez a forrás a Pénzügyminisztérium </w:t>
      </w:r>
      <w:proofErr w:type="gramStart"/>
      <w:r w:rsidRPr="00711ED3">
        <w:t>kalkulációja</w:t>
      </w:r>
      <w:proofErr w:type="gramEnd"/>
      <w:r w:rsidRPr="00711ED3">
        <w:t xml:space="preserve"> szerint 65 milliárd forint lesz. A területfejlesztési Alapban lévő forrás visszaosztásra kerül a járás településeinek, így a pénz a rendszerben marad, visszakerül a településekhez, csak nem oda, ahol megtermelődik, hanem azokhoz az önkormányzatokhoz is, akiknek szétosztják a polgármesterek kétharmados többséggel. </w:t>
      </w:r>
      <w:r w:rsidR="00044873" w:rsidRPr="00711ED3">
        <w:t xml:space="preserve">Az előzetes információk szerint a </w:t>
      </w:r>
      <w:r w:rsidRPr="00711ED3">
        <w:t xml:space="preserve">járások ugyanarra az összegre pályázhatnak, mint ami az iparűzési adó többleteként megjelent, </w:t>
      </w:r>
      <w:proofErr w:type="gramStart"/>
      <w:r w:rsidRPr="00711ED3">
        <w:t>ugyanakkor</w:t>
      </w:r>
      <w:proofErr w:type="gramEnd"/>
      <w:r w:rsidRPr="00711ED3">
        <w:t xml:space="preserve"> ha ez a többlet az évi 250 millió forintot nem éri el, akko</w:t>
      </w:r>
      <w:r w:rsidR="00044873" w:rsidRPr="00711ED3">
        <w:t>r a költségvetés kiegészíti ezt. A pályázat céljait a kormány jelöli meg az előző év őszéig. Az Alapba történő befizetés technikája még nem ismert, nem tudjuk havi rendszeres, vagy eseti egyösszegű befizetéssel kell számolni, így 2025. évben maximum a 2024. évi HIPA összege kerülhet tervezésre.</w:t>
      </w:r>
    </w:p>
    <w:p w:rsidR="00543A47" w:rsidRPr="00711ED3" w:rsidRDefault="00A57011" w:rsidP="00A57011">
      <w:pPr>
        <w:autoSpaceDE w:val="0"/>
        <w:autoSpaceDN w:val="0"/>
        <w:adjustRightInd w:val="0"/>
        <w:spacing w:before="120"/>
        <w:jc w:val="both"/>
      </w:pPr>
      <w:r w:rsidRPr="00711ED3">
        <w:t xml:space="preserve">A költségvetési szervek által foglalkoztatottak éves </w:t>
      </w:r>
      <w:r w:rsidR="00F855B3" w:rsidRPr="00711ED3">
        <w:t>cafeteria</w:t>
      </w:r>
      <w:r w:rsidRPr="00711ED3">
        <w:t xml:space="preserve">-juttatás </w:t>
      </w:r>
      <w:r w:rsidR="001913AA" w:rsidRPr="00711ED3">
        <w:t xml:space="preserve">kerete </w:t>
      </w:r>
      <w:r w:rsidR="00974902" w:rsidRPr="00711ED3">
        <w:t>202</w:t>
      </w:r>
      <w:r w:rsidR="00044873" w:rsidRPr="00711ED3">
        <w:t>5</w:t>
      </w:r>
      <w:r w:rsidR="001913AA" w:rsidRPr="00711ED3">
        <w:t>. évben n</w:t>
      </w:r>
      <w:r w:rsidRPr="00711ED3">
        <w:t xml:space="preserve">em haladhatja meg a </w:t>
      </w:r>
      <w:r w:rsidR="001913AA" w:rsidRPr="00711ED3">
        <w:t>nettó 4</w:t>
      </w:r>
      <w:r w:rsidRPr="00711ED3">
        <w:t>00</w:t>
      </w:r>
      <w:r w:rsidR="003779D0" w:rsidRPr="00711ED3">
        <w:t xml:space="preserve"> 000 </w:t>
      </w:r>
      <w:r w:rsidR="005C7BEF" w:rsidRPr="00711ED3">
        <w:t>Ft-ot, a</w:t>
      </w:r>
      <w:r w:rsidRPr="00711ED3">
        <w:t xml:space="preserve"> fizetési számlákhoz kapcsolódóan változatlan a bankszámla-hozzájárulás havi </w:t>
      </w:r>
      <w:r w:rsidR="00543A47" w:rsidRPr="00711ED3">
        <w:t>1 000 Ft mértéke.</w:t>
      </w:r>
    </w:p>
    <w:p w:rsidR="00543A47" w:rsidRPr="00711ED3" w:rsidRDefault="00A57011" w:rsidP="00A57011">
      <w:pPr>
        <w:autoSpaceDE w:val="0"/>
        <w:autoSpaceDN w:val="0"/>
        <w:adjustRightInd w:val="0"/>
        <w:spacing w:before="120"/>
        <w:jc w:val="both"/>
      </w:pPr>
      <w:r w:rsidRPr="00711ED3">
        <w:t xml:space="preserve">Változatlan a </w:t>
      </w:r>
      <w:r w:rsidR="004B7179" w:rsidRPr="00711ED3">
        <w:t xml:space="preserve">közalkalmazotti bértábla és a </w:t>
      </w:r>
      <w:r w:rsidRPr="00711ED3">
        <w:t>köztisztvi</w:t>
      </w:r>
      <w:r w:rsidR="00543A47" w:rsidRPr="00711ED3">
        <w:t>selői illetmé</w:t>
      </w:r>
      <w:r w:rsidR="00F855B3">
        <w:t>nyalap, 38.</w:t>
      </w:r>
      <w:r w:rsidR="00974902" w:rsidRPr="00711ED3">
        <w:t>650</w:t>
      </w:r>
      <w:r w:rsidR="00F855B3">
        <w:t>,-</w:t>
      </w:r>
      <w:r w:rsidR="00974902" w:rsidRPr="00711ED3">
        <w:t xml:space="preserve"> Ft. A törvény 202</w:t>
      </w:r>
      <w:r w:rsidR="00E34FF3" w:rsidRPr="00711ED3">
        <w:t>5</w:t>
      </w:r>
      <w:r w:rsidR="00543A47" w:rsidRPr="00711ED3">
        <w:t>. évben is lehetőséget biztosít a 6</w:t>
      </w:r>
      <w:r w:rsidR="00E34FF3" w:rsidRPr="00711ED3">
        <w:t>4</w:t>
      </w:r>
      <w:r w:rsidR="004B7179" w:rsidRPr="00711ED3">
        <w:t>.§</w:t>
      </w:r>
      <w:r w:rsidR="00E34FF3" w:rsidRPr="00711ED3">
        <w:t xml:space="preserve"> (5</w:t>
      </w:r>
      <w:r w:rsidR="00543A47" w:rsidRPr="00711ED3">
        <w:t xml:space="preserve">) bekezdésében az illetményalap magasabb összegben történő megállapítására. </w:t>
      </w:r>
      <w:r w:rsidR="007B2A03">
        <w:t xml:space="preserve">A képviselő-testület ennek megfelelően a köztisztviselői illetményalapot 46.380,- Ft-ban állapította meg, mely a gyakorlatban annyit jelent, hogy egy felsőfokú végzettséggel rendelkező, több mint 37 éve a pályán lévő vezető főtanácsos havi bruttó illetménye (6 x 46.380,- Ft) 278.280,- Ft. </w:t>
      </w:r>
    </w:p>
    <w:p w:rsidR="00EF00EF" w:rsidRPr="00711ED3" w:rsidRDefault="00BE691B" w:rsidP="00D04E3E">
      <w:pPr>
        <w:autoSpaceDE w:val="0"/>
        <w:autoSpaceDN w:val="0"/>
        <w:adjustRightInd w:val="0"/>
        <w:spacing w:before="120"/>
        <w:jc w:val="both"/>
      </w:pPr>
      <w:r w:rsidRPr="00711ED3">
        <w:t xml:space="preserve">A </w:t>
      </w:r>
      <w:r w:rsidR="00367D3C" w:rsidRPr="00711ED3">
        <w:t xml:space="preserve">nemzeti </w:t>
      </w:r>
      <w:r w:rsidRPr="00711ED3">
        <w:t xml:space="preserve">közbeszerzési értékhatárok </w:t>
      </w:r>
      <w:r w:rsidR="00A57AE1" w:rsidRPr="00711ED3">
        <w:t>202</w:t>
      </w:r>
      <w:r w:rsidR="00367D3C" w:rsidRPr="00711ED3">
        <w:t>5</w:t>
      </w:r>
      <w:r w:rsidR="00A57AE1" w:rsidRPr="00711ED3">
        <w:t>. éveben a törvény 7</w:t>
      </w:r>
      <w:r w:rsidR="00367D3C" w:rsidRPr="00711ED3">
        <w:t>6</w:t>
      </w:r>
      <w:r w:rsidR="000C7349" w:rsidRPr="00711ED3">
        <w:t>. § (1) bekezdése alapján</w:t>
      </w:r>
      <w:r w:rsidR="00367D3C" w:rsidRPr="00711ED3">
        <w:t xml:space="preserve"> módosításra kerülnek</w:t>
      </w:r>
      <w:r w:rsidR="000C7349" w:rsidRPr="00711ED3">
        <w:t>:</w:t>
      </w:r>
    </w:p>
    <w:p w:rsidR="000C7349" w:rsidRPr="00711ED3" w:rsidRDefault="00367D3C" w:rsidP="000C7349">
      <w:pPr>
        <w:pStyle w:val="Listaszerbekezds"/>
        <w:numPr>
          <w:ilvl w:val="2"/>
          <w:numId w:val="22"/>
        </w:numPr>
        <w:tabs>
          <w:tab w:val="clear" w:pos="2340"/>
          <w:tab w:val="num" w:pos="993"/>
        </w:tabs>
        <w:autoSpaceDE w:val="0"/>
        <w:autoSpaceDN w:val="0"/>
        <w:adjustRightInd w:val="0"/>
        <w:spacing w:before="120"/>
        <w:ind w:left="993"/>
        <w:jc w:val="both"/>
      </w:pPr>
      <w:r w:rsidRPr="00711ED3">
        <w:t>árubeszerzés esetében 20</w:t>
      </w:r>
      <w:r w:rsidR="000C7349" w:rsidRPr="00711ED3">
        <w:t>,0 m Ft,</w:t>
      </w:r>
      <w:r w:rsidRPr="00711ED3">
        <w:t xml:space="preserve"> (2024. évben 15,0 m Ft volt)</w:t>
      </w:r>
    </w:p>
    <w:p w:rsidR="000C7349" w:rsidRPr="00711ED3" w:rsidRDefault="00A57AE1" w:rsidP="000C7349">
      <w:pPr>
        <w:pStyle w:val="Listaszerbekezds"/>
        <w:numPr>
          <w:ilvl w:val="2"/>
          <w:numId w:val="22"/>
        </w:numPr>
        <w:tabs>
          <w:tab w:val="clear" w:pos="2340"/>
          <w:tab w:val="num" w:pos="993"/>
        </w:tabs>
        <w:autoSpaceDE w:val="0"/>
        <w:autoSpaceDN w:val="0"/>
        <w:adjustRightInd w:val="0"/>
        <w:spacing w:before="120"/>
        <w:ind w:left="993"/>
        <w:jc w:val="both"/>
      </w:pPr>
      <w:r w:rsidRPr="00711ED3">
        <w:t xml:space="preserve">építési beruházás esetében </w:t>
      </w:r>
      <w:r w:rsidR="00367D3C" w:rsidRPr="00711ED3">
        <w:t>6</w:t>
      </w:r>
      <w:r w:rsidRPr="00711ED3">
        <w:t>0</w:t>
      </w:r>
      <w:r w:rsidR="000C7349" w:rsidRPr="00711ED3">
        <w:t>,0 m Ft,</w:t>
      </w:r>
      <w:r w:rsidRPr="00711ED3">
        <w:t xml:space="preserve"> (20</w:t>
      </w:r>
      <w:r w:rsidR="00367D3C" w:rsidRPr="00711ED3">
        <w:t xml:space="preserve">24. évben </w:t>
      </w:r>
      <w:r w:rsidRPr="00711ED3">
        <w:t>5</w:t>
      </w:r>
      <w:r w:rsidR="00367D3C" w:rsidRPr="00711ED3">
        <w:t>0</w:t>
      </w:r>
      <w:r w:rsidRPr="00711ED3">
        <w:t>,0 m Ft volt)</w:t>
      </w:r>
    </w:p>
    <w:p w:rsidR="000C7349" w:rsidRPr="00711ED3" w:rsidRDefault="000C7349" w:rsidP="000C7349">
      <w:pPr>
        <w:pStyle w:val="Listaszerbekezds"/>
        <w:numPr>
          <w:ilvl w:val="2"/>
          <w:numId w:val="22"/>
        </w:numPr>
        <w:tabs>
          <w:tab w:val="clear" w:pos="2340"/>
          <w:tab w:val="num" w:pos="993"/>
        </w:tabs>
        <w:autoSpaceDE w:val="0"/>
        <w:autoSpaceDN w:val="0"/>
        <w:adjustRightInd w:val="0"/>
        <w:spacing w:before="120"/>
        <w:ind w:left="993"/>
        <w:jc w:val="both"/>
      </w:pPr>
      <w:r w:rsidRPr="00711ED3">
        <w:t xml:space="preserve">építési </w:t>
      </w:r>
      <w:proofErr w:type="gramStart"/>
      <w:r w:rsidRPr="00711ED3">
        <w:t>koncesszió</w:t>
      </w:r>
      <w:proofErr w:type="gramEnd"/>
      <w:r w:rsidRPr="00711ED3">
        <w:t xml:space="preserve"> esetében 100,0 m Ft,</w:t>
      </w:r>
      <w:r w:rsidR="00367D3C" w:rsidRPr="00711ED3">
        <w:t xml:space="preserve"> változás nem történt</w:t>
      </w:r>
    </w:p>
    <w:p w:rsidR="000C7349" w:rsidRPr="00711ED3" w:rsidRDefault="000C7349" w:rsidP="000C7349">
      <w:pPr>
        <w:pStyle w:val="Listaszerbekezds"/>
        <w:numPr>
          <w:ilvl w:val="2"/>
          <w:numId w:val="22"/>
        </w:numPr>
        <w:tabs>
          <w:tab w:val="clear" w:pos="2340"/>
          <w:tab w:val="num" w:pos="993"/>
        </w:tabs>
        <w:autoSpaceDE w:val="0"/>
        <w:autoSpaceDN w:val="0"/>
        <w:adjustRightInd w:val="0"/>
        <w:spacing w:before="120"/>
        <w:ind w:left="993"/>
        <w:jc w:val="both"/>
      </w:pPr>
      <w:r w:rsidRPr="00711ED3">
        <w:t>szolgáltatás megrendelése esetében 15,0 m Ft,</w:t>
      </w:r>
      <w:r w:rsidR="00367D3C" w:rsidRPr="00711ED3">
        <w:t xml:space="preserve"> változás nem történt</w:t>
      </w:r>
    </w:p>
    <w:p w:rsidR="000C7349" w:rsidRPr="00711ED3" w:rsidRDefault="000C7349" w:rsidP="000C7349">
      <w:pPr>
        <w:pStyle w:val="Listaszerbekezds"/>
        <w:numPr>
          <w:ilvl w:val="2"/>
          <w:numId w:val="22"/>
        </w:numPr>
        <w:tabs>
          <w:tab w:val="clear" w:pos="2340"/>
          <w:tab w:val="num" w:pos="993"/>
        </w:tabs>
        <w:autoSpaceDE w:val="0"/>
        <w:autoSpaceDN w:val="0"/>
        <w:adjustRightInd w:val="0"/>
        <w:spacing w:before="120"/>
        <w:ind w:left="993"/>
        <w:jc w:val="both"/>
      </w:pPr>
      <w:r w:rsidRPr="00711ED3">
        <w:t xml:space="preserve">szolgáltatási </w:t>
      </w:r>
      <w:proofErr w:type="gramStart"/>
      <w:r w:rsidRPr="00711ED3">
        <w:t>koncesszió</w:t>
      </w:r>
      <w:proofErr w:type="gramEnd"/>
      <w:r w:rsidRPr="00711ED3">
        <w:t xml:space="preserve"> esetében 30,0 m Ft</w:t>
      </w:r>
      <w:r w:rsidR="00367D3C" w:rsidRPr="00711ED3">
        <w:t>, változás nem történt</w:t>
      </w:r>
      <w:r w:rsidRPr="00711ED3">
        <w:t>.</w:t>
      </w:r>
    </w:p>
    <w:p w:rsidR="00932106" w:rsidRPr="00711ED3" w:rsidRDefault="00932106" w:rsidP="0073561D">
      <w:pPr>
        <w:numPr>
          <w:ilvl w:val="0"/>
          <w:numId w:val="22"/>
        </w:numPr>
        <w:autoSpaceDE w:val="0"/>
        <w:autoSpaceDN w:val="0"/>
        <w:adjustRightInd w:val="0"/>
        <w:spacing w:before="240"/>
        <w:ind w:hanging="181"/>
        <w:jc w:val="both"/>
        <w:rPr>
          <w:b/>
        </w:rPr>
      </w:pPr>
      <w:r w:rsidRPr="00711ED3">
        <w:rPr>
          <w:b/>
        </w:rPr>
        <w:t>Bevételek</w:t>
      </w:r>
    </w:p>
    <w:p w:rsidR="00CD6433" w:rsidRPr="00711ED3" w:rsidRDefault="00034AFB" w:rsidP="00125513">
      <w:pPr>
        <w:autoSpaceDE w:val="0"/>
        <w:autoSpaceDN w:val="0"/>
        <w:adjustRightInd w:val="0"/>
        <w:spacing w:before="240"/>
        <w:jc w:val="both"/>
      </w:pPr>
      <w:r>
        <w:t>Berzence Nagyközség</w:t>
      </w:r>
      <w:r w:rsidR="00E00B98">
        <w:t xml:space="preserve"> lakosságszáma 2019. január 1. napján 2</w:t>
      </w:r>
      <w:r w:rsidR="008F7FD0" w:rsidRPr="00711ED3">
        <w:t> </w:t>
      </w:r>
      <w:r w:rsidR="00E00B98">
        <w:t>460</w:t>
      </w:r>
      <w:r w:rsidR="008F7FD0" w:rsidRPr="00711ED3">
        <w:t xml:space="preserve"> fő, </w:t>
      </w:r>
      <w:r w:rsidR="00E00B98">
        <w:t>2020. január 1. napján 2</w:t>
      </w:r>
      <w:r w:rsidR="00957A50" w:rsidRPr="00711ED3">
        <w:t> </w:t>
      </w:r>
      <w:r w:rsidR="00E00B98">
        <w:t>443 fő, 2021. január 1. napján 2</w:t>
      </w:r>
      <w:r w:rsidR="00957A50" w:rsidRPr="00711ED3">
        <w:t> </w:t>
      </w:r>
      <w:r w:rsidR="00E00B98">
        <w:t>421</w:t>
      </w:r>
      <w:r w:rsidR="00957A50" w:rsidRPr="00711ED3">
        <w:t xml:space="preserve"> fő, </w:t>
      </w:r>
      <w:r w:rsidR="00E00B98">
        <w:t>2022. január 1. napján 2</w:t>
      </w:r>
      <w:r w:rsidR="00D83A53" w:rsidRPr="00711ED3">
        <w:t> </w:t>
      </w:r>
      <w:r w:rsidR="00E00B98">
        <w:t>409</w:t>
      </w:r>
      <w:r w:rsidR="00D83A53" w:rsidRPr="00711ED3">
        <w:t xml:space="preserve"> fő</w:t>
      </w:r>
      <w:r w:rsidR="006203B1" w:rsidRPr="00711ED3">
        <w:t>, 202</w:t>
      </w:r>
      <w:r w:rsidR="00E00B98">
        <w:t>3. január 1. napján 2</w:t>
      </w:r>
      <w:r w:rsidR="006203B1" w:rsidRPr="00711ED3">
        <w:t> </w:t>
      </w:r>
      <w:r w:rsidR="00E00B98">
        <w:t>399</w:t>
      </w:r>
      <w:r w:rsidR="006203B1" w:rsidRPr="00711ED3">
        <w:t xml:space="preserve"> fő</w:t>
      </w:r>
      <w:r w:rsidR="00E00B98">
        <w:t>, 2024. január 1. napján 2</w:t>
      </w:r>
      <w:r w:rsidR="00367D3C" w:rsidRPr="00711ED3">
        <w:t> </w:t>
      </w:r>
      <w:r w:rsidR="00E00B98">
        <w:t>381</w:t>
      </w:r>
      <w:r w:rsidR="00367D3C" w:rsidRPr="00711ED3">
        <w:t xml:space="preserve"> fő. A </w:t>
      </w:r>
      <w:r w:rsidR="00CD6433" w:rsidRPr="00711ED3">
        <w:t xml:space="preserve">lakosságszám alapján járó központi </w:t>
      </w:r>
      <w:r w:rsidR="00BE691B" w:rsidRPr="00711ED3">
        <w:t>támogatás ezen adat figyelembevételével kerül meghatározásra.</w:t>
      </w:r>
    </w:p>
    <w:p w:rsidR="000F01F9" w:rsidRPr="00711ED3" w:rsidRDefault="003E1FF2" w:rsidP="000F01F9">
      <w:pPr>
        <w:autoSpaceDE w:val="0"/>
        <w:autoSpaceDN w:val="0"/>
        <w:adjustRightInd w:val="0"/>
        <w:spacing w:before="120"/>
        <w:jc w:val="both"/>
      </w:pPr>
      <w:r w:rsidRPr="00711ED3">
        <w:t>Az Önkormányzat 202</w:t>
      </w:r>
      <w:r w:rsidR="00367D3C" w:rsidRPr="00711ED3">
        <w:t>5</w:t>
      </w:r>
      <w:r w:rsidR="000F01F9" w:rsidRPr="00711ED3">
        <w:t>. évr</w:t>
      </w:r>
      <w:r w:rsidR="00034AFB">
        <w:t>e tervezett bevételeit a 4/2013.(I.11.) K</w:t>
      </w:r>
      <w:r w:rsidR="000F01F9" w:rsidRPr="00711ED3">
        <w:t>ormányrendelet az államháztartás számviteléről 15. mellékletében meghatározott rovatrend szerint kell tervezni.</w:t>
      </w:r>
    </w:p>
    <w:p w:rsidR="000F01F9" w:rsidRPr="00711ED3" w:rsidRDefault="0053625D" w:rsidP="00D04E3E">
      <w:pPr>
        <w:numPr>
          <w:ilvl w:val="0"/>
          <w:numId w:val="23"/>
        </w:numPr>
        <w:tabs>
          <w:tab w:val="clear" w:pos="1425"/>
        </w:tabs>
        <w:autoSpaceDE w:val="0"/>
        <w:autoSpaceDN w:val="0"/>
        <w:adjustRightInd w:val="0"/>
        <w:spacing w:before="240"/>
        <w:ind w:left="601" w:hanging="601"/>
        <w:jc w:val="both"/>
        <w:rPr>
          <w:i/>
        </w:rPr>
      </w:pPr>
      <w:r w:rsidRPr="00711ED3">
        <w:rPr>
          <w:i/>
        </w:rPr>
        <w:t>Működési célú támogatások államháztartáson belülről</w:t>
      </w:r>
    </w:p>
    <w:p w:rsidR="00226293" w:rsidRPr="00711ED3" w:rsidRDefault="00226293" w:rsidP="00E12316">
      <w:pPr>
        <w:autoSpaceDE w:val="0"/>
        <w:autoSpaceDN w:val="0"/>
        <w:adjustRightInd w:val="0"/>
        <w:spacing w:before="120"/>
        <w:jc w:val="both"/>
      </w:pPr>
      <w:r w:rsidRPr="00711ED3">
        <w:t xml:space="preserve">Ezen a soron a 2. </w:t>
      </w:r>
      <w:r w:rsidR="008F1EFD" w:rsidRPr="00711ED3">
        <w:t>melléklet I.</w:t>
      </w:r>
      <w:r w:rsidRPr="00711ED3">
        <w:t xml:space="preserve"> Önkormányzatok működé</w:t>
      </w:r>
      <w:r w:rsidR="00794DD5" w:rsidRPr="00711ED3">
        <w:t>si támogatása kerül tervezésre, mely tétel kizárólag az önkormányzat költségvetésében tervezhető. Főbb tételei:</w:t>
      </w:r>
    </w:p>
    <w:p w:rsidR="008F1EFD" w:rsidRPr="00711ED3" w:rsidRDefault="008F1EFD" w:rsidP="00D04E3E">
      <w:pPr>
        <w:tabs>
          <w:tab w:val="left" w:pos="600"/>
        </w:tabs>
        <w:autoSpaceDE w:val="0"/>
        <w:autoSpaceDN w:val="0"/>
        <w:adjustRightInd w:val="0"/>
        <w:spacing w:before="240"/>
        <w:jc w:val="both"/>
      </w:pPr>
      <w:r w:rsidRPr="00711ED3">
        <w:t>I.</w:t>
      </w:r>
      <w:r w:rsidRPr="00711ED3">
        <w:tab/>
        <w:t>Önkormányzatok működésének általános támogatása - B111</w:t>
      </w:r>
    </w:p>
    <w:p w:rsidR="00794DD5" w:rsidRPr="00711ED3" w:rsidRDefault="00794DD5" w:rsidP="0027111B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840" w:hanging="600"/>
        <w:jc w:val="both"/>
      </w:pPr>
      <w:r w:rsidRPr="00711ED3">
        <w:t>Önkormányzati</w:t>
      </w:r>
      <w:r w:rsidR="00BE691B" w:rsidRPr="00711ED3">
        <w:t xml:space="preserve"> hivatal működésének támogatása</w:t>
      </w:r>
      <w:r w:rsidR="0027111B" w:rsidRPr="00711ED3">
        <w:t xml:space="preserve"> </w:t>
      </w:r>
      <w:r w:rsidRPr="00711ED3">
        <w:t xml:space="preserve">– fajlagos összeg </w:t>
      </w:r>
      <w:r w:rsidR="00034AFB">
        <w:t>6 994</w:t>
      </w:r>
      <w:r w:rsidR="00B56913" w:rsidRPr="00711ED3">
        <w:t xml:space="preserve"> e </w:t>
      </w:r>
      <w:r w:rsidR="00E74B8B" w:rsidRPr="00711ED3">
        <w:t xml:space="preserve">Ft/fő  </w:t>
      </w:r>
    </w:p>
    <w:p w:rsidR="00794DD5" w:rsidRPr="00711ED3" w:rsidRDefault="00794DD5" w:rsidP="00F64674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0"/>
        <w:jc w:val="both"/>
      </w:pPr>
      <w:r w:rsidRPr="00711ED3">
        <w:t>Település-üzemeltetéssel kapcsolatos feladatellátás (zöldterület-gazdálkodás, közvilágítás, köztemető -, közutak fenntartása) – fajlagos összegek változatlanok</w:t>
      </w:r>
    </w:p>
    <w:p w:rsidR="00794DD5" w:rsidRPr="00711ED3" w:rsidRDefault="00794DD5" w:rsidP="00F64674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0"/>
        <w:jc w:val="both"/>
      </w:pPr>
      <w:r w:rsidRPr="00711ED3">
        <w:t>Egyéb önkormányzati feladatok támogatása (előző pontban nem nevesített feladatok)</w:t>
      </w:r>
    </w:p>
    <w:p w:rsidR="0027111B" w:rsidRPr="00711ED3" w:rsidRDefault="00794DD5" w:rsidP="00E12316">
      <w:pPr>
        <w:autoSpaceDE w:val="0"/>
        <w:autoSpaceDN w:val="0"/>
        <w:adjustRightInd w:val="0"/>
        <w:spacing w:before="120"/>
        <w:jc w:val="both"/>
      </w:pPr>
      <w:r w:rsidRPr="00711ED3">
        <w:t>A támogatás mértékét az egy főre jutó adóerő-képes</w:t>
      </w:r>
      <w:r w:rsidR="0063666A">
        <w:t>ség befolyásolja</w:t>
      </w:r>
      <w:r w:rsidR="0098545B">
        <w:t xml:space="preserve">. </w:t>
      </w:r>
      <w:r w:rsidR="00A13642" w:rsidRPr="00711ED3">
        <w:t xml:space="preserve">A </w:t>
      </w:r>
      <w:r w:rsidR="0098545B">
        <w:t>tervezet</w:t>
      </w:r>
      <w:r w:rsidR="00A13642" w:rsidRPr="00711ED3">
        <w:t xml:space="preserve"> összeállításakor a 202</w:t>
      </w:r>
      <w:r w:rsidR="004B651A" w:rsidRPr="00711ED3">
        <w:t>5</w:t>
      </w:r>
      <w:r w:rsidR="00A13642" w:rsidRPr="00711ED3">
        <w:t>. évi megalapozó felmérés adatai</w:t>
      </w:r>
      <w:r w:rsidR="00FB1C79" w:rsidRPr="00711ED3">
        <w:t xml:space="preserve"> </w:t>
      </w:r>
      <w:r w:rsidR="0098545B">
        <w:t>már rögzítésre</w:t>
      </w:r>
      <w:r w:rsidR="004B651A" w:rsidRPr="00711ED3">
        <w:t xml:space="preserve"> kerültek</w:t>
      </w:r>
      <w:r w:rsidR="00A13642" w:rsidRPr="00711ED3">
        <w:t>, a helyi önkormányzatok működésének általános támogatása jogcímen lehívható összegek</w:t>
      </w:r>
      <w:r w:rsidR="00FB1C79" w:rsidRPr="00711ED3">
        <w:t xml:space="preserve"> egy része </w:t>
      </w:r>
      <w:r w:rsidR="004B651A" w:rsidRPr="00711ED3">
        <w:t>ismert csak</w:t>
      </w:r>
      <w:r w:rsidR="00A13642" w:rsidRPr="00711ED3">
        <w:t>.</w:t>
      </w:r>
    </w:p>
    <w:p w:rsidR="00CA5B30" w:rsidRPr="00711ED3" w:rsidRDefault="00CA5B30" w:rsidP="00E12316">
      <w:pPr>
        <w:autoSpaceDE w:val="0"/>
        <w:autoSpaceDN w:val="0"/>
        <w:adjustRightInd w:val="0"/>
        <w:spacing w:before="120"/>
        <w:jc w:val="both"/>
      </w:pPr>
      <w:r w:rsidRPr="00711ED3">
        <w:t xml:space="preserve">A helyi önkormányzatok működésének általános támogatása jogcímen </w:t>
      </w:r>
      <w:r w:rsidR="00A13642" w:rsidRPr="00711ED3">
        <w:t>20</w:t>
      </w:r>
      <w:r w:rsidR="0098545B">
        <w:t>25</w:t>
      </w:r>
      <w:r w:rsidR="00A13642" w:rsidRPr="00711ED3">
        <w:t xml:space="preserve">. évben </w:t>
      </w:r>
      <w:r w:rsidR="0098545B">
        <w:t>több mint 77</w:t>
      </w:r>
      <w:r w:rsidR="0098545B" w:rsidRPr="00711ED3">
        <w:t xml:space="preserve"> m Ft</w:t>
      </w:r>
      <w:r w:rsidR="0063666A" w:rsidRPr="0063666A">
        <w:t xml:space="preserve"> </w:t>
      </w:r>
      <w:r w:rsidR="0063666A" w:rsidRPr="00711ED3">
        <w:t>összegű támogatással számoltunk</w:t>
      </w:r>
      <w:r w:rsidR="0098545B" w:rsidRPr="00711ED3">
        <w:t xml:space="preserve">, </w:t>
      </w:r>
      <w:r w:rsidR="0098545B">
        <w:t>mely a polgármester illetményéhez és költségtérítéséhez nyújtott támogatást még nem tartalmazza</w:t>
      </w:r>
      <w:r w:rsidRPr="00711ED3">
        <w:t>.</w:t>
      </w:r>
    </w:p>
    <w:p w:rsidR="008F1EFD" w:rsidRPr="00711ED3" w:rsidRDefault="008F1EFD" w:rsidP="00D04E3E">
      <w:pPr>
        <w:tabs>
          <w:tab w:val="left" w:pos="600"/>
        </w:tabs>
        <w:autoSpaceDE w:val="0"/>
        <w:autoSpaceDN w:val="0"/>
        <w:adjustRightInd w:val="0"/>
        <w:spacing w:before="240"/>
        <w:jc w:val="both"/>
      </w:pPr>
      <w:r w:rsidRPr="00711ED3">
        <w:t>II.</w:t>
      </w:r>
      <w:r w:rsidRPr="00711ED3">
        <w:tab/>
        <w:t>Települési önkormányzatok egyes köznevelési feladatainak támogatása - B112</w:t>
      </w:r>
    </w:p>
    <w:p w:rsidR="00AB5AE1" w:rsidRPr="00711ED3" w:rsidRDefault="008F1EFD" w:rsidP="00F64674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2"/>
        <w:jc w:val="both"/>
      </w:pPr>
      <w:r w:rsidRPr="00711ED3">
        <w:t xml:space="preserve">Óvodapedagógusok és az óvodapedagógusok nevelő munkáját közvetlenül segítők bértámogatása – fajlagos összeg </w:t>
      </w:r>
      <w:r w:rsidR="00D83A53" w:rsidRPr="00711ED3">
        <w:t xml:space="preserve">2022. évben </w:t>
      </w:r>
      <w:r w:rsidR="00F3046E" w:rsidRPr="00711ED3">
        <w:t>4 861 500 Ft/fő/év, 202</w:t>
      </w:r>
      <w:r w:rsidR="00D83A53" w:rsidRPr="00711ED3">
        <w:t>3</w:t>
      </w:r>
      <w:r w:rsidR="00F3046E" w:rsidRPr="00711ED3">
        <w:t>. évi összeg</w:t>
      </w:r>
      <w:r w:rsidR="00D83A53" w:rsidRPr="00711ED3">
        <w:t xml:space="preserve"> 5 262 900 Ft/fő/év</w:t>
      </w:r>
      <w:r w:rsidR="00B56913" w:rsidRPr="00711ED3">
        <w:t>, 2024. évi összeg 5 980 790 Ft/fő/év</w:t>
      </w:r>
      <w:r w:rsidR="00E00B98">
        <w:t>, 2025. évi összeg 10</w:t>
      </w:r>
      <w:r w:rsidR="004B651A" w:rsidRPr="00711ED3">
        <w:t> </w:t>
      </w:r>
      <w:r w:rsidR="00E00B98">
        <w:t>147</w:t>
      </w:r>
      <w:r w:rsidR="004B651A" w:rsidRPr="00711ED3">
        <w:t> 000 Ft/fő/év</w:t>
      </w:r>
      <w:r w:rsidR="00D83A53" w:rsidRPr="00711ED3">
        <w:t>.</w:t>
      </w:r>
    </w:p>
    <w:p w:rsidR="00AB5AE1" w:rsidRPr="00711ED3" w:rsidRDefault="00AB5AE1" w:rsidP="00F64674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2"/>
        <w:jc w:val="both"/>
      </w:pPr>
      <w:r w:rsidRPr="00711ED3">
        <w:t>Óvodaműködtetési támogatás –</w:t>
      </w:r>
      <w:r w:rsidR="00E00B98">
        <w:t xml:space="preserve"> </w:t>
      </w:r>
      <w:r w:rsidR="00B56913" w:rsidRPr="00711ED3">
        <w:t>202</w:t>
      </w:r>
      <w:r w:rsidR="004B651A" w:rsidRPr="00711ED3">
        <w:t>5</w:t>
      </w:r>
      <w:r w:rsidR="00B56913" w:rsidRPr="00711ED3">
        <w:t>. évi fajlagos összeg 1</w:t>
      </w:r>
      <w:r w:rsidR="004B651A" w:rsidRPr="00711ED3">
        <w:t>72</w:t>
      </w:r>
      <w:r w:rsidR="00D83A53" w:rsidRPr="00711ED3">
        <w:t> </w:t>
      </w:r>
      <w:r w:rsidR="004B651A" w:rsidRPr="00711ED3">
        <w:t>374</w:t>
      </w:r>
      <w:r w:rsidR="00D83A53" w:rsidRPr="00711ED3">
        <w:t xml:space="preserve"> Ft/fő/év</w:t>
      </w:r>
      <w:r w:rsidRPr="00711ED3">
        <w:t xml:space="preserve"> </w:t>
      </w:r>
      <w:r w:rsidR="00D83A53" w:rsidRPr="00711ED3">
        <w:t>(</w:t>
      </w:r>
      <w:r w:rsidR="004B651A" w:rsidRPr="00711ED3">
        <w:t xml:space="preserve">2024. évi fajlagos összeg 137 000 Ft/fő/év, </w:t>
      </w:r>
      <w:r w:rsidR="00637697" w:rsidRPr="00711ED3">
        <w:t>202</w:t>
      </w:r>
      <w:r w:rsidR="00B56913" w:rsidRPr="00711ED3">
        <w:t>3</w:t>
      </w:r>
      <w:r w:rsidR="00637697" w:rsidRPr="00711ED3">
        <w:t xml:space="preserve">. évi fajlagos összeg </w:t>
      </w:r>
      <w:r w:rsidR="00B56913" w:rsidRPr="00711ED3">
        <w:t>13</w:t>
      </w:r>
      <w:r w:rsidR="00F3046E" w:rsidRPr="00711ED3">
        <w:t>0 000 Ft/fő/év</w:t>
      </w:r>
      <w:r w:rsidR="00D83A53" w:rsidRPr="00711ED3">
        <w:t xml:space="preserve">, </w:t>
      </w:r>
      <w:r w:rsidR="00F3046E" w:rsidRPr="00711ED3">
        <w:t>202</w:t>
      </w:r>
      <w:r w:rsidR="00B56913" w:rsidRPr="00711ED3">
        <w:t>2</w:t>
      </w:r>
      <w:r w:rsidR="00F3046E" w:rsidRPr="00711ED3">
        <w:t xml:space="preserve">. évben: </w:t>
      </w:r>
      <w:r w:rsidR="00B56913" w:rsidRPr="00711ED3">
        <w:t xml:space="preserve">110 000 </w:t>
      </w:r>
      <w:r w:rsidR="00F3046E" w:rsidRPr="00711ED3">
        <w:t>Ft</w:t>
      </w:r>
      <w:r w:rsidR="00BE4084" w:rsidRPr="00711ED3">
        <w:t>/fő/év.</w:t>
      </w:r>
      <w:r w:rsidR="00F3046E" w:rsidRPr="00711ED3">
        <w:t>)</w:t>
      </w:r>
      <w:r w:rsidR="00BE4084" w:rsidRPr="00711ED3">
        <w:t xml:space="preserve"> A támogatás a települési önkormányzatot az óvoda működtetésével és feladatellátásával összefüggő kiadásaihoz kapcsolódóan illeti meg az általa fenntartott óvod</w:t>
      </w:r>
      <w:r w:rsidR="00637697" w:rsidRPr="00711ED3">
        <w:t>ában nevelt gyermeklétszám után</w:t>
      </w:r>
      <w:r w:rsidR="00ED1654" w:rsidRPr="00711ED3">
        <w:t>.</w:t>
      </w:r>
    </w:p>
    <w:p w:rsidR="003A3D05" w:rsidRPr="00711ED3" w:rsidRDefault="003A3D05" w:rsidP="00F64674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2"/>
        <w:jc w:val="both"/>
      </w:pPr>
      <w:r w:rsidRPr="00711ED3">
        <w:t xml:space="preserve">Pedagógus II. </w:t>
      </w:r>
      <w:proofErr w:type="gramStart"/>
      <w:r w:rsidRPr="00711ED3">
        <w:t>kategóriába</w:t>
      </w:r>
      <w:proofErr w:type="gramEnd"/>
      <w:r w:rsidRPr="00711ED3">
        <w:t xml:space="preserve"> sorolt pedagógusok, pedagógus szakképzettséggel rendelkező segítők kiegészítő támogatása jogcímen 2023. évben a fajlagos össze</w:t>
      </w:r>
      <w:r w:rsidR="00B56913" w:rsidRPr="00711ED3">
        <w:t>g 467 690 Ft/fő/év, 2024. évben a fajlagos összeg 514 000 Ft/fő/év</w:t>
      </w:r>
      <w:r w:rsidR="0054414D" w:rsidRPr="00711ED3">
        <w:t>, 2</w:t>
      </w:r>
      <w:r w:rsidR="00E00B98">
        <w:t>025. évben a fajlagos összeg 869</w:t>
      </w:r>
      <w:r w:rsidR="0054414D" w:rsidRPr="00711ED3">
        <w:t> 000 Ft/fő/év</w:t>
      </w:r>
    </w:p>
    <w:p w:rsidR="003A3D05" w:rsidRPr="00711ED3" w:rsidRDefault="003A3D05" w:rsidP="00F64674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2"/>
        <w:jc w:val="both"/>
      </w:pPr>
      <w:r w:rsidRPr="00711ED3">
        <w:t>Pedagógus szakképzettséggel nem rendelkező segítők átlagbéralapú támogatása jogcímen a fajlagos összeg</w:t>
      </w:r>
      <w:r w:rsidR="00B56913" w:rsidRPr="00711ED3">
        <w:t xml:space="preserve"> 2023. évben 3 878 000 ft/fő/év, 2024. évben 4 421 000 ft/fő/év</w:t>
      </w:r>
      <w:r w:rsidR="0054414D" w:rsidRPr="00711ED3">
        <w:t>, 2025. évben 5 268 000 ft/fő/év</w:t>
      </w:r>
    </w:p>
    <w:p w:rsidR="00CA5B30" w:rsidRPr="00711ED3" w:rsidRDefault="00CA5B30" w:rsidP="00CA5B30">
      <w:pPr>
        <w:autoSpaceDE w:val="0"/>
        <w:autoSpaceDN w:val="0"/>
        <w:adjustRightInd w:val="0"/>
        <w:spacing w:before="60"/>
        <w:jc w:val="both"/>
      </w:pPr>
      <w:r w:rsidRPr="00711ED3">
        <w:t>A települési önkormányzatok egyes köznevelési fel</w:t>
      </w:r>
      <w:r w:rsidR="00ED1654" w:rsidRPr="00711ED3">
        <w:t>adatainak tá</w:t>
      </w:r>
      <w:r w:rsidR="0063666A">
        <w:t>mogatása jogcímen a</w:t>
      </w:r>
      <w:r w:rsidR="003A3D05" w:rsidRPr="00711ED3">
        <w:t xml:space="preserve"> </w:t>
      </w:r>
      <w:r w:rsidR="0063666A">
        <w:t>2024. évben 68</w:t>
      </w:r>
      <w:r w:rsidR="0054414D" w:rsidRPr="00711ED3">
        <w:t> </w:t>
      </w:r>
      <w:r w:rsidR="0063666A">
        <w:t>367</w:t>
      </w:r>
      <w:r w:rsidR="0054414D" w:rsidRPr="00711ED3">
        <w:t xml:space="preserve"> e Ft összeggel számoltunk, </w:t>
      </w:r>
      <w:r w:rsidR="003A3D05" w:rsidRPr="00711ED3">
        <w:t>a 202</w:t>
      </w:r>
      <w:r w:rsidR="0054414D" w:rsidRPr="00711ED3">
        <w:t>5</w:t>
      </w:r>
      <w:r w:rsidR="00637697" w:rsidRPr="00711ED3">
        <w:t>. év</w:t>
      </w:r>
      <w:r w:rsidR="0054414D" w:rsidRPr="00711ED3">
        <w:t xml:space="preserve">ben </w:t>
      </w:r>
      <w:r w:rsidR="00F3046E" w:rsidRPr="00711ED3">
        <w:t xml:space="preserve">a várható támogatási összeg </w:t>
      </w:r>
      <w:r w:rsidR="0063666A">
        <w:t>79</w:t>
      </w:r>
      <w:r w:rsidR="0068421A" w:rsidRPr="00711ED3">
        <w:t> </w:t>
      </w:r>
      <w:r w:rsidR="0063666A">
        <w:t>711</w:t>
      </w:r>
      <w:r w:rsidR="0068421A" w:rsidRPr="00711ED3">
        <w:t xml:space="preserve"> </w:t>
      </w:r>
      <w:r w:rsidR="00F3046E" w:rsidRPr="00711ED3">
        <w:t>e Ft.</w:t>
      </w:r>
    </w:p>
    <w:p w:rsidR="00AB5AE1" w:rsidRPr="00711ED3" w:rsidRDefault="00AB5AE1" w:rsidP="00F64674">
      <w:pPr>
        <w:tabs>
          <w:tab w:val="left" w:pos="600"/>
        </w:tabs>
        <w:autoSpaceDE w:val="0"/>
        <w:autoSpaceDN w:val="0"/>
        <w:adjustRightInd w:val="0"/>
        <w:spacing w:before="240"/>
        <w:jc w:val="both"/>
      </w:pPr>
      <w:r w:rsidRPr="00711ED3">
        <w:t>III.</w:t>
      </w:r>
      <w:r w:rsidRPr="00711ED3">
        <w:tab/>
        <w:t>Települési önkormányzatok szociális, gyermekjóléti és gyermekétkeztetési feladatainak támogatása - B113</w:t>
      </w:r>
    </w:p>
    <w:p w:rsidR="00B07AF3" w:rsidRPr="00711ED3" w:rsidRDefault="00B07AF3" w:rsidP="00E12316">
      <w:pPr>
        <w:tabs>
          <w:tab w:val="left" w:pos="1200"/>
        </w:tabs>
        <w:autoSpaceDE w:val="0"/>
        <w:autoSpaceDN w:val="0"/>
        <w:adjustRightInd w:val="0"/>
        <w:spacing w:before="120"/>
        <w:jc w:val="both"/>
      </w:pPr>
      <w:r w:rsidRPr="00711ED3">
        <w:t>Egyes szociális és gyermekjóléti feladatok, gyermekétkeztetés támogatása, szoci</w:t>
      </w:r>
      <w:r w:rsidR="00F64674" w:rsidRPr="00711ED3">
        <w:t>ális ágazati pótlék támogatása tervezhető a pontos létszámadatok figyelembevételével.</w:t>
      </w:r>
    </w:p>
    <w:p w:rsidR="002915A4" w:rsidRPr="00711ED3" w:rsidRDefault="002915A4" w:rsidP="002915A4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2"/>
        <w:jc w:val="both"/>
      </w:pPr>
      <w:r w:rsidRPr="00711ED3">
        <w:t xml:space="preserve">Szociális étkeztetés – </w:t>
      </w:r>
      <w:r w:rsidR="00297E27" w:rsidRPr="00711ED3">
        <w:t xml:space="preserve">a </w:t>
      </w:r>
      <w:r w:rsidRPr="00711ED3">
        <w:t>fajlagos összege</w:t>
      </w:r>
      <w:r w:rsidR="00297E27" w:rsidRPr="00711ED3">
        <w:t xml:space="preserve"> emelésre került a 20</w:t>
      </w:r>
      <w:r w:rsidR="00F3046E" w:rsidRPr="00711ED3">
        <w:t>21</w:t>
      </w:r>
      <w:r w:rsidR="009054B7" w:rsidRPr="00711ED3">
        <w:t>. évi 6</w:t>
      </w:r>
      <w:r w:rsidR="00F3046E" w:rsidRPr="00711ED3">
        <w:t>6</w:t>
      </w:r>
      <w:r w:rsidR="00297E27" w:rsidRPr="00711ED3">
        <w:t xml:space="preserve"> 360 Ft/fő összegről </w:t>
      </w:r>
      <w:r w:rsidR="00F3046E" w:rsidRPr="00711ED3">
        <w:t>67 81</w:t>
      </w:r>
      <w:r w:rsidRPr="00711ED3">
        <w:t>0 Ft/fő</w:t>
      </w:r>
      <w:r w:rsidR="00297E27" w:rsidRPr="00711ED3">
        <w:t xml:space="preserve"> összegre változott</w:t>
      </w:r>
      <w:r w:rsidR="003A3D05" w:rsidRPr="00711ED3">
        <w:t>, 2023. évben 73 810 Ft/fő</w:t>
      </w:r>
      <w:r w:rsidR="00B56913" w:rsidRPr="00711ED3">
        <w:t>, 2024. évben 79 610 Ft/fő</w:t>
      </w:r>
      <w:r w:rsidR="0054414D" w:rsidRPr="00711ED3">
        <w:t xml:space="preserve">, 2025. </w:t>
      </w:r>
      <w:r w:rsidR="0063666A">
        <w:t>évben 88 52</w:t>
      </w:r>
      <w:r w:rsidR="0054414D" w:rsidRPr="00711ED3">
        <w:t>0 Ft/fő</w:t>
      </w:r>
      <w:r w:rsidR="003A3D05" w:rsidRPr="00711ED3">
        <w:t>.</w:t>
      </w:r>
      <w:r w:rsidR="0054414D" w:rsidRPr="00711ED3">
        <w:t xml:space="preserve"> </w:t>
      </w:r>
      <w:r w:rsidR="009054B7" w:rsidRPr="00711ED3">
        <w:t>202</w:t>
      </w:r>
      <w:r w:rsidR="0054414D" w:rsidRPr="00711ED3">
        <w:t>5</w:t>
      </w:r>
      <w:r w:rsidR="009054B7" w:rsidRPr="00711ED3">
        <w:t xml:space="preserve">. évben </w:t>
      </w:r>
      <w:r w:rsidR="0063666A">
        <w:t>45</w:t>
      </w:r>
      <w:r w:rsidRPr="00711ED3">
        <w:t xml:space="preserve"> fő</w:t>
      </w:r>
      <w:r w:rsidR="0054414D" w:rsidRPr="00711ED3">
        <w:t xml:space="preserve"> ellátotti létszám</w:t>
      </w:r>
      <w:r w:rsidRPr="00711ED3">
        <w:t xml:space="preserve">, </w:t>
      </w:r>
      <w:r w:rsidR="009054B7" w:rsidRPr="00711ED3">
        <w:t xml:space="preserve">igényelt támogatás </w:t>
      </w:r>
      <w:r w:rsidR="0063666A">
        <w:t>3 983 e</w:t>
      </w:r>
      <w:r w:rsidRPr="00711ED3">
        <w:t xml:space="preserve"> Ft.</w:t>
      </w:r>
    </w:p>
    <w:p w:rsidR="002915A4" w:rsidRPr="00711ED3" w:rsidRDefault="005073B0" w:rsidP="002915A4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2"/>
        <w:jc w:val="both"/>
      </w:pPr>
      <w:r w:rsidRPr="00711ED3">
        <w:t>Bölcsődei feladatellátás támogatása – a</w:t>
      </w:r>
      <w:r w:rsidR="009054B7" w:rsidRPr="00711ED3">
        <w:t xml:space="preserve"> bértámogatás fajlagos összege </w:t>
      </w:r>
      <w:r w:rsidR="00480C62">
        <w:t>középfokú</w:t>
      </w:r>
      <w:r w:rsidR="00E4151E" w:rsidRPr="00711ED3">
        <w:t xml:space="preserve"> végzettség esetén </w:t>
      </w:r>
      <w:r w:rsidR="008812BB" w:rsidRPr="00711ED3">
        <w:t>202</w:t>
      </w:r>
      <w:r w:rsidR="0068421A" w:rsidRPr="00711ED3">
        <w:t>4</w:t>
      </w:r>
      <w:r w:rsidR="008812BB" w:rsidRPr="00711ED3">
        <w:t xml:space="preserve">. évben </w:t>
      </w:r>
      <w:r w:rsidR="00480C62">
        <w:t>6</w:t>
      </w:r>
      <w:r w:rsidR="0068421A" w:rsidRPr="00711ED3">
        <w:t> </w:t>
      </w:r>
      <w:r w:rsidR="00480C62">
        <w:t>276</w:t>
      </w:r>
      <w:r w:rsidR="0068421A" w:rsidRPr="00711ED3">
        <w:t xml:space="preserve"> </w:t>
      </w:r>
      <w:r w:rsidR="009054B7" w:rsidRPr="00711ED3">
        <w:t>e Ft/számított létszám</w:t>
      </w:r>
      <w:r w:rsidR="0068421A" w:rsidRPr="00711ED3">
        <w:t xml:space="preserve">, </w:t>
      </w:r>
      <w:r w:rsidR="00480C62">
        <w:t>2025. évben 7</w:t>
      </w:r>
      <w:r w:rsidR="0054414D" w:rsidRPr="00711ED3">
        <w:t> </w:t>
      </w:r>
      <w:r w:rsidR="00480C62">
        <w:t>338</w:t>
      </w:r>
      <w:r w:rsidR="0054414D" w:rsidRPr="00711ED3">
        <w:t xml:space="preserve"> e Ft/számított létszám </w:t>
      </w:r>
      <w:r w:rsidR="00480C62">
        <w:t>(számított létszám 4</w:t>
      </w:r>
      <w:r w:rsidR="006E072C" w:rsidRPr="00711ED3">
        <w:t xml:space="preserve"> fő)</w:t>
      </w:r>
      <w:r w:rsidRPr="00711ED3">
        <w:t>.</w:t>
      </w:r>
      <w:r w:rsidR="0068421A" w:rsidRPr="00711ED3">
        <w:t xml:space="preserve"> </w:t>
      </w:r>
    </w:p>
    <w:p w:rsidR="00734FC7" w:rsidRPr="00711ED3" w:rsidRDefault="00174353" w:rsidP="00734FC7">
      <w:pPr>
        <w:numPr>
          <w:ilvl w:val="1"/>
          <w:numId w:val="23"/>
        </w:numPr>
        <w:tabs>
          <w:tab w:val="clear" w:pos="2145"/>
          <w:tab w:val="num" w:pos="720"/>
        </w:tabs>
        <w:autoSpaceDE w:val="0"/>
        <w:autoSpaceDN w:val="0"/>
        <w:adjustRightInd w:val="0"/>
        <w:spacing w:before="60"/>
        <w:ind w:left="720" w:hanging="482"/>
        <w:jc w:val="both"/>
      </w:pPr>
      <w:r w:rsidRPr="00711ED3">
        <w:t>Gyermekétkeztetés támogatása</w:t>
      </w:r>
      <w:r w:rsidR="005073B0" w:rsidRPr="00711ED3">
        <w:t xml:space="preserve"> – étkeztetési </w:t>
      </w:r>
      <w:r w:rsidR="00FB61CC" w:rsidRPr="00711ED3">
        <w:t>feladatot ellátó</w:t>
      </w:r>
      <w:r w:rsidR="005073B0" w:rsidRPr="00711ED3">
        <w:t xml:space="preserve">k után járó </w:t>
      </w:r>
      <w:r w:rsidR="00916424" w:rsidRPr="00711ED3">
        <w:t xml:space="preserve">bértámogatás fajlagos összege </w:t>
      </w:r>
      <w:r w:rsidR="005D1344" w:rsidRPr="00711ED3">
        <w:t xml:space="preserve">2021. évben </w:t>
      </w:r>
      <w:r w:rsidR="00916424" w:rsidRPr="00711ED3">
        <w:t>2 </w:t>
      </w:r>
      <w:r w:rsidR="00E4151E" w:rsidRPr="00711ED3">
        <w:t>376</w:t>
      </w:r>
      <w:r w:rsidR="00916424" w:rsidRPr="00711ED3">
        <w:t xml:space="preserve"> </w:t>
      </w:r>
      <w:r w:rsidR="00E4151E" w:rsidRPr="00711ED3">
        <w:t>e</w:t>
      </w:r>
      <w:r w:rsidR="005073B0" w:rsidRPr="00711ED3">
        <w:t xml:space="preserve"> Ft/számított létszám/év</w:t>
      </w:r>
      <w:r w:rsidR="005D1344" w:rsidRPr="00711ED3">
        <w:t xml:space="preserve">, 2022. évben 2 442 e Ft/számított létszám/év, </w:t>
      </w:r>
      <w:r w:rsidR="006E072C" w:rsidRPr="00711ED3">
        <w:t>2023. évben 2 700,3 e Ft/számított létszám/év</w:t>
      </w:r>
      <w:r w:rsidR="008812BB" w:rsidRPr="00711ED3">
        <w:t xml:space="preserve">, 2024. évben </w:t>
      </w:r>
      <w:r w:rsidR="0068421A" w:rsidRPr="00711ED3">
        <w:t xml:space="preserve">2 961 </w:t>
      </w:r>
      <w:r w:rsidR="00F81CA5" w:rsidRPr="00711ED3">
        <w:t>e Ft/számíto</w:t>
      </w:r>
      <w:r w:rsidR="00480C62">
        <w:t>tt létszám/év. 2025. évben 3 924</w:t>
      </w:r>
      <w:r w:rsidR="00F81CA5" w:rsidRPr="00711ED3">
        <w:t xml:space="preserve"> e Ft/számított létszám/év,</w:t>
      </w:r>
      <w:r w:rsidR="006E072C" w:rsidRPr="00711ED3">
        <w:t xml:space="preserve"> </w:t>
      </w:r>
      <w:r w:rsidR="005D1344" w:rsidRPr="00711ED3">
        <w:t xml:space="preserve">a várható támogatás </w:t>
      </w:r>
      <w:r w:rsidR="003B5840">
        <w:t>22 680</w:t>
      </w:r>
      <w:r w:rsidR="00F81CA5" w:rsidRPr="00711ED3">
        <w:t xml:space="preserve"> </w:t>
      </w:r>
      <w:r w:rsidR="003B5840">
        <w:t>e</w:t>
      </w:r>
      <w:r w:rsidR="005D1344" w:rsidRPr="00711ED3">
        <w:t xml:space="preserve"> Ft.</w:t>
      </w:r>
      <w:r w:rsidR="005073B0" w:rsidRPr="00711ED3">
        <w:t xml:space="preserve"> Az üzemeltetési támogatás összege </w:t>
      </w:r>
      <w:r w:rsidR="003B5840">
        <w:t>36 501 e Ft.</w:t>
      </w:r>
    </w:p>
    <w:p w:rsidR="00E4151E" w:rsidRPr="00711ED3" w:rsidRDefault="00E4151E" w:rsidP="00E4151E">
      <w:pPr>
        <w:autoSpaceDE w:val="0"/>
        <w:autoSpaceDN w:val="0"/>
        <w:adjustRightInd w:val="0"/>
        <w:spacing w:before="60"/>
        <w:ind w:left="720"/>
        <w:jc w:val="both"/>
      </w:pPr>
    </w:p>
    <w:p w:rsidR="00E4151E" w:rsidRPr="00711ED3" w:rsidRDefault="008D34DB" w:rsidP="00734FC7">
      <w:pPr>
        <w:spacing w:before="60"/>
        <w:jc w:val="both"/>
      </w:pPr>
      <w:r w:rsidRPr="00711ED3">
        <w:t>A települési önkormányzatok szociális, gyermekjóléti és gyermekétkeztetési feladat</w:t>
      </w:r>
      <w:r w:rsidR="005073B0" w:rsidRPr="00711ED3">
        <w:t xml:space="preserve">ainak támogatása jogcímen </w:t>
      </w:r>
      <w:r w:rsidR="003B5840">
        <w:t>2024. évben 28</w:t>
      </w:r>
      <w:r w:rsidR="00F81CA5" w:rsidRPr="00711ED3">
        <w:t> </w:t>
      </w:r>
      <w:r w:rsidR="003B5840">
        <w:t>083</w:t>
      </w:r>
      <w:r w:rsidR="00F81CA5" w:rsidRPr="00711ED3">
        <w:t xml:space="preserve"> e Ft</w:t>
      </w:r>
      <w:r w:rsidR="008812BB" w:rsidRPr="00711ED3">
        <w:t xml:space="preserve"> összeggel számoltunk </w:t>
      </w:r>
      <w:r w:rsidR="00E4151E" w:rsidRPr="00711ED3">
        <w:t>a 202</w:t>
      </w:r>
      <w:r w:rsidR="00F81CA5" w:rsidRPr="00711ED3">
        <w:t>5</w:t>
      </w:r>
      <w:r w:rsidR="00E4151E" w:rsidRPr="00711ED3">
        <w:t xml:space="preserve">. évi terv </w:t>
      </w:r>
      <w:r w:rsidR="003B5840">
        <w:t>38</w:t>
      </w:r>
      <w:r w:rsidR="00370C38" w:rsidRPr="00711ED3">
        <w:t> </w:t>
      </w:r>
      <w:r w:rsidR="003B5840">
        <w:t>793</w:t>
      </w:r>
      <w:r w:rsidR="00370C38" w:rsidRPr="00711ED3">
        <w:t xml:space="preserve"> </w:t>
      </w:r>
      <w:r w:rsidR="005D1344" w:rsidRPr="00711ED3">
        <w:t>e Ft</w:t>
      </w:r>
      <w:r w:rsidR="003B5840">
        <w:t xml:space="preserve"> támogatási összeg</w:t>
      </w:r>
      <w:r w:rsidR="005F27D2" w:rsidRPr="00711ED3">
        <w:t>.</w:t>
      </w:r>
    </w:p>
    <w:p w:rsidR="00B07AF3" w:rsidRPr="00711ED3" w:rsidRDefault="00B07AF3" w:rsidP="00FB61CC">
      <w:pPr>
        <w:tabs>
          <w:tab w:val="left" w:pos="600"/>
        </w:tabs>
        <w:autoSpaceDE w:val="0"/>
        <w:autoSpaceDN w:val="0"/>
        <w:adjustRightInd w:val="0"/>
        <w:spacing w:before="240"/>
        <w:jc w:val="both"/>
      </w:pPr>
      <w:r w:rsidRPr="00711ED3">
        <w:t>IV.</w:t>
      </w:r>
      <w:r w:rsidRPr="00711ED3">
        <w:tab/>
        <w:t>Települési önkormányzatok kulturális feladatainak támogatása - B114</w:t>
      </w:r>
    </w:p>
    <w:p w:rsidR="00B07AF3" w:rsidRPr="00711ED3" w:rsidRDefault="003B5840" w:rsidP="0033032F">
      <w:pPr>
        <w:tabs>
          <w:tab w:val="left" w:pos="600"/>
        </w:tabs>
        <w:autoSpaceDE w:val="0"/>
        <w:autoSpaceDN w:val="0"/>
        <w:adjustRightInd w:val="0"/>
        <w:spacing w:before="240"/>
        <w:jc w:val="both"/>
      </w:pPr>
      <w:r w:rsidRPr="00711ED3">
        <w:t xml:space="preserve">Települési önkormányzatok kulturális feladatainak </w:t>
      </w:r>
      <w:r w:rsidR="00B07AF3" w:rsidRPr="00711ED3">
        <w:t xml:space="preserve">támogatására </w:t>
      </w:r>
      <w:r>
        <w:t xml:space="preserve">a 2024. évi </w:t>
      </w:r>
      <w:r w:rsidR="00B07AF3" w:rsidRPr="00711ED3">
        <w:t>fajlag</w:t>
      </w:r>
      <w:r w:rsidR="00B77EB5" w:rsidRPr="00711ED3">
        <w:t xml:space="preserve">os összeg áll rendelkezésre </w:t>
      </w:r>
      <w:r>
        <w:t xml:space="preserve">mely </w:t>
      </w:r>
      <w:r w:rsidR="006B139E" w:rsidRPr="00711ED3">
        <w:t xml:space="preserve">2 </w:t>
      </w:r>
      <w:r>
        <w:t>213</w:t>
      </w:r>
      <w:r w:rsidR="008D34DB" w:rsidRPr="00711ED3">
        <w:t xml:space="preserve"> Ft/fő</w:t>
      </w:r>
      <w:r w:rsidR="006E072C" w:rsidRPr="00711ED3">
        <w:t>,</w:t>
      </w:r>
      <w:r w:rsidR="00167F5F" w:rsidRPr="00711ED3">
        <w:t xml:space="preserve"> </w:t>
      </w:r>
      <w:r w:rsidR="008D34DB" w:rsidRPr="00711ED3">
        <w:t xml:space="preserve">a támogatás a települési önkormányzatot lakosságszám alapján illeti meg, így a </w:t>
      </w:r>
      <w:r w:rsidR="0033032F" w:rsidRPr="00711ED3">
        <w:t xml:space="preserve">várható támogatás összege: </w:t>
      </w:r>
      <w:r>
        <w:t>5 269 e</w:t>
      </w:r>
      <w:r w:rsidR="008D34DB" w:rsidRPr="00711ED3">
        <w:t xml:space="preserve"> Ft.</w:t>
      </w:r>
    </w:p>
    <w:p w:rsidR="004B5B19" w:rsidRPr="00711ED3" w:rsidRDefault="004B5B19" w:rsidP="00F855EF">
      <w:pPr>
        <w:tabs>
          <w:tab w:val="left" w:pos="1200"/>
        </w:tabs>
        <w:autoSpaceDE w:val="0"/>
        <w:autoSpaceDN w:val="0"/>
        <w:adjustRightInd w:val="0"/>
        <w:spacing w:before="240"/>
        <w:jc w:val="both"/>
      </w:pPr>
      <w:r w:rsidRPr="00711ED3">
        <w:t>3. melléklet szerinti kiegészítő támogatások - B11</w:t>
      </w:r>
      <w:r w:rsidR="00194FC5" w:rsidRPr="00711ED3">
        <w:t>5</w:t>
      </w:r>
    </w:p>
    <w:p w:rsidR="008F1EFD" w:rsidRDefault="004B5B19" w:rsidP="00F15410">
      <w:pPr>
        <w:autoSpaceDE w:val="0"/>
        <w:autoSpaceDN w:val="0"/>
        <w:adjustRightInd w:val="0"/>
        <w:spacing w:before="120"/>
        <w:jc w:val="both"/>
      </w:pPr>
      <w:r w:rsidRPr="00711ED3">
        <w:t>Pályázat benyújtásához kötött támogatási forma, így eredeti előir</w:t>
      </w:r>
      <w:r w:rsidR="00E96C46" w:rsidRPr="00711ED3">
        <w:t>ányzatként nem kerül tervezésre, év közben igényelhetők, önkormányzatunkat érintő előirányzatok az alábbiak:</w:t>
      </w:r>
    </w:p>
    <w:p w:rsidR="008A3237" w:rsidRPr="00697E52" w:rsidRDefault="008A3237" w:rsidP="008A3237">
      <w:pPr>
        <w:pStyle w:val="NormlWeb"/>
        <w:shd w:val="clear" w:color="auto" w:fill="FFFFFF"/>
        <w:spacing w:before="0" w:beforeAutospacing="0" w:after="45" w:afterAutospacing="0"/>
        <w:ind w:firstLine="240"/>
        <w:jc w:val="both"/>
      </w:pPr>
    </w:p>
    <w:p w:rsidR="008A3237" w:rsidRPr="00733C13" w:rsidRDefault="008A3237" w:rsidP="008A3237">
      <w:pPr>
        <w:pStyle w:val="NormlWeb"/>
        <w:shd w:val="clear" w:color="auto" w:fill="FFFFFF"/>
        <w:spacing w:before="0" w:beforeAutospacing="0" w:after="45" w:afterAutospacing="0"/>
        <w:jc w:val="both"/>
        <w:rPr>
          <w:u w:val="single"/>
        </w:rPr>
      </w:pPr>
      <w:r w:rsidRPr="00733C13">
        <w:rPr>
          <w:u w:val="single"/>
        </w:rPr>
        <w:t>- 2.1.1. Polgármesteri illetményhez és költségtérítéshez nyújtott támogatás jogcím</w:t>
      </w:r>
    </w:p>
    <w:p w:rsidR="008A3237" w:rsidRPr="00697E52" w:rsidRDefault="008A3237" w:rsidP="008A3237">
      <w:pPr>
        <w:pStyle w:val="NormlWeb"/>
        <w:shd w:val="clear" w:color="auto" w:fill="FFFFFF"/>
        <w:spacing w:before="0" w:beforeAutospacing="0" w:after="45" w:afterAutospacing="0"/>
        <w:ind w:left="142"/>
        <w:jc w:val="both"/>
      </w:pPr>
      <w:r w:rsidRPr="00697E52">
        <w:t>2.1.1.1. Az előirányzat a polgármesteri illetmény és költségtérítés, valamint az ezekhez kapcsolódó szociális hozzájárulási adó kifizetésére használható fel.</w:t>
      </w:r>
    </w:p>
    <w:p w:rsidR="008A3237" w:rsidRPr="00697E52" w:rsidRDefault="008A3237" w:rsidP="008A3237">
      <w:pPr>
        <w:pStyle w:val="NormlWeb"/>
        <w:shd w:val="clear" w:color="auto" w:fill="FFFFFF"/>
        <w:spacing w:before="0" w:beforeAutospacing="0" w:after="45" w:afterAutospacing="0"/>
        <w:ind w:left="142"/>
        <w:jc w:val="both"/>
      </w:pPr>
      <w:r w:rsidRPr="00697E52">
        <w:t>2.1.1.2. A támogatás a legfeljebb 30 000 fő lakosságszámú községi, nagyközségi és városi önkormányzatokat illeti meg az egy lakosra jutó adóerő-képesség figyelembevételével.</w:t>
      </w:r>
    </w:p>
    <w:p w:rsidR="008A3237" w:rsidRPr="00697E52" w:rsidRDefault="008A3237" w:rsidP="008A3237">
      <w:pPr>
        <w:pStyle w:val="NormlWeb"/>
        <w:shd w:val="clear" w:color="auto" w:fill="FFFFFF"/>
        <w:spacing w:before="0" w:beforeAutospacing="0" w:after="45" w:afterAutospacing="0"/>
        <w:ind w:left="142"/>
        <w:jc w:val="both"/>
      </w:pPr>
      <w:r w:rsidRPr="00697E52">
        <w:t>2.1.1.3. A polgármesteri illetmények tárgyévet megelőző év október 1-jétől visszamenőleges ha</w:t>
      </w:r>
      <w:r w:rsidR="00733C13">
        <w:t>tályú emeléséhez kapcsolódó két</w:t>
      </w:r>
      <w:r w:rsidRPr="00697E52">
        <w:t>havi és a tárgyév januártól júliusig fizetendő összegéhez kapcsolódó hét havi támogatás önkormányzatonkénti összegét a helyi önkormányzatokért felelős miniszter tárgyév január 8-áig állapítja meg.</w:t>
      </w:r>
    </w:p>
    <w:p w:rsidR="008A3237" w:rsidRPr="00697E52" w:rsidRDefault="008A3237" w:rsidP="008A3237">
      <w:pPr>
        <w:pStyle w:val="NormlWeb"/>
        <w:shd w:val="clear" w:color="auto" w:fill="FFFFFF"/>
        <w:spacing w:before="0" w:beforeAutospacing="0" w:after="45" w:afterAutospacing="0"/>
        <w:ind w:left="142"/>
        <w:jc w:val="both"/>
      </w:pPr>
      <w:r w:rsidRPr="00697E52">
        <w:t>2.1.1.4. A polgármesteri illetmények tárgyév augusztustól decemberig fizetendő összegéhez kapcsolódó öt havi támogatás önkormányzatonkénti összegét a helyi önkormányzatokért felelős miniszter tárgyév április 10-éig állapítja meg</w:t>
      </w:r>
    </w:p>
    <w:p w:rsidR="008A3237" w:rsidRPr="00697E52" w:rsidRDefault="008A3237" w:rsidP="008A3237">
      <w:pPr>
        <w:pStyle w:val="NormlWeb"/>
        <w:shd w:val="clear" w:color="auto" w:fill="FFFFFF"/>
        <w:spacing w:before="0" w:beforeAutospacing="0" w:after="45" w:afterAutospacing="0"/>
        <w:ind w:left="142"/>
        <w:jc w:val="both"/>
      </w:pPr>
      <w:r w:rsidRPr="00697E52">
        <w:t>2.1.1.5. Az 2.1.1.3. pont szerint m</w:t>
      </w:r>
      <w:r w:rsidR="00733C13">
        <w:t>egállapított támogatásból három</w:t>
      </w:r>
      <w:r w:rsidRPr="00697E52">
        <w:t xml:space="preserve">havi összeg folyósítása januárban, ezt követően februártól júliusig hat egyenlő részlet folyósítása havonta, a nettó </w:t>
      </w:r>
      <w:proofErr w:type="gramStart"/>
      <w:r w:rsidRPr="00697E52">
        <w:t>finanszírozás</w:t>
      </w:r>
      <w:proofErr w:type="gramEnd"/>
      <w:r w:rsidRPr="00697E52">
        <w:t xml:space="preserve"> keretében történik.</w:t>
      </w:r>
    </w:p>
    <w:p w:rsidR="008A3237" w:rsidRPr="00697E52" w:rsidRDefault="008A3237" w:rsidP="008A3237">
      <w:pPr>
        <w:pStyle w:val="NormlWeb"/>
        <w:shd w:val="clear" w:color="auto" w:fill="FFFFFF"/>
        <w:spacing w:before="0" w:beforeAutospacing="0" w:after="45" w:afterAutospacing="0"/>
        <w:ind w:left="142"/>
        <w:jc w:val="both"/>
      </w:pPr>
      <w:r w:rsidRPr="00697E52">
        <w:t xml:space="preserve">2.1.1.6. Az 2.1.1.4. pont szerint megállapított támogatás folyósítása havonta augusztustól decemberig öt egyenlő részletben, a nettó </w:t>
      </w:r>
      <w:proofErr w:type="gramStart"/>
      <w:r w:rsidRPr="00697E52">
        <w:t>finanszírozás</w:t>
      </w:r>
      <w:proofErr w:type="gramEnd"/>
      <w:r w:rsidRPr="00697E52">
        <w:t xml:space="preserve"> keretében történik.</w:t>
      </w:r>
    </w:p>
    <w:p w:rsidR="008A3237" w:rsidRPr="00697E52" w:rsidRDefault="008A3237" w:rsidP="008A3237">
      <w:pPr>
        <w:pStyle w:val="NormlWeb"/>
        <w:shd w:val="clear" w:color="auto" w:fill="FFFFFF"/>
        <w:spacing w:before="0" w:beforeAutospacing="0" w:after="45" w:afterAutospacing="0"/>
        <w:ind w:left="142"/>
        <w:jc w:val="both"/>
      </w:pPr>
      <w:r w:rsidRPr="00697E52">
        <w:t>2.1.1.7. A támogatás felhasználási határideje tárgyév december 31-e.</w:t>
      </w:r>
    </w:p>
    <w:p w:rsidR="008A3237" w:rsidRPr="00711ED3" w:rsidRDefault="008A3237" w:rsidP="00F15410">
      <w:pPr>
        <w:autoSpaceDE w:val="0"/>
        <w:autoSpaceDN w:val="0"/>
        <w:adjustRightInd w:val="0"/>
        <w:spacing w:before="120"/>
        <w:jc w:val="both"/>
      </w:pPr>
    </w:p>
    <w:p w:rsidR="00E96C46" w:rsidRPr="00733C13" w:rsidRDefault="00697E52" w:rsidP="00697E52">
      <w:pPr>
        <w:autoSpaceDE w:val="0"/>
        <w:autoSpaceDN w:val="0"/>
        <w:adjustRightInd w:val="0"/>
        <w:spacing w:before="60"/>
        <w:jc w:val="both"/>
        <w:rPr>
          <w:u w:val="single"/>
        </w:rPr>
      </w:pPr>
      <w:r w:rsidRPr="00733C13">
        <w:rPr>
          <w:u w:val="single"/>
        </w:rPr>
        <w:t xml:space="preserve">- </w:t>
      </w:r>
      <w:r w:rsidR="00F24912" w:rsidRPr="00733C13">
        <w:rPr>
          <w:u w:val="single"/>
        </w:rPr>
        <w:t>2.1.5</w:t>
      </w:r>
      <w:r w:rsidR="00E96C46" w:rsidRPr="00733C13">
        <w:rPr>
          <w:u w:val="single"/>
        </w:rPr>
        <w:t xml:space="preserve"> Önkormányzatok rendkívüli támogatása</w:t>
      </w:r>
    </w:p>
    <w:p w:rsidR="00E96C46" w:rsidRPr="00711ED3" w:rsidRDefault="00E96C46" w:rsidP="00697E52">
      <w:pPr>
        <w:pStyle w:val="Listaszerbekezds"/>
        <w:autoSpaceDE w:val="0"/>
        <w:autoSpaceDN w:val="0"/>
        <w:adjustRightInd w:val="0"/>
        <w:ind w:left="142"/>
        <w:contextualSpacing w:val="0"/>
        <w:jc w:val="both"/>
      </w:pPr>
      <w:r w:rsidRPr="00711ED3">
        <w:t>A települési önkormányzatok e támogatást kivételes esetben, pályázat útján igényelhetik működőképességük megőrzése vagy egyéb, a feladataik ellátását veszélyeztető helyzet elhárítása érdekében.</w:t>
      </w:r>
    </w:p>
    <w:p w:rsidR="00E96C46" w:rsidRDefault="00E96C46" w:rsidP="00697E52">
      <w:pPr>
        <w:pStyle w:val="Listaszerbekezds"/>
        <w:autoSpaceDE w:val="0"/>
        <w:autoSpaceDN w:val="0"/>
        <w:adjustRightInd w:val="0"/>
        <w:ind w:left="142"/>
        <w:contextualSpacing w:val="0"/>
        <w:jc w:val="both"/>
      </w:pPr>
      <w:r w:rsidRPr="00711ED3">
        <w:t xml:space="preserve">A rendelkezésre álló keret összege </w:t>
      </w:r>
      <w:r w:rsidR="008812BB" w:rsidRPr="00711ED3">
        <w:t>202</w:t>
      </w:r>
      <w:r w:rsidR="00F24912" w:rsidRPr="00711ED3">
        <w:t>5</w:t>
      </w:r>
      <w:r w:rsidR="008812BB" w:rsidRPr="00711ED3">
        <w:t xml:space="preserve">. </w:t>
      </w:r>
      <w:r w:rsidR="00100559" w:rsidRPr="00711ED3">
        <w:t>évben 5 500 m Ft</w:t>
      </w:r>
    </w:p>
    <w:p w:rsidR="001941B5" w:rsidRDefault="001941B5" w:rsidP="00697E52">
      <w:pPr>
        <w:pStyle w:val="NormlWeb"/>
        <w:shd w:val="clear" w:color="auto" w:fill="FFFFFF"/>
        <w:spacing w:before="0" w:beforeAutospacing="0" w:after="45" w:afterAutospacing="0"/>
        <w:jc w:val="both"/>
        <w:rPr>
          <w:color w:val="000000"/>
        </w:rPr>
      </w:pPr>
    </w:p>
    <w:p w:rsidR="008A3237" w:rsidRPr="00733C13" w:rsidRDefault="00697E52" w:rsidP="00697E52">
      <w:pPr>
        <w:pStyle w:val="NormlWeb"/>
        <w:shd w:val="clear" w:color="auto" w:fill="FFFFFF"/>
        <w:spacing w:before="0" w:beforeAutospacing="0" w:after="45" w:afterAutospacing="0"/>
        <w:jc w:val="both"/>
        <w:rPr>
          <w:color w:val="000000"/>
          <w:u w:val="single"/>
        </w:rPr>
      </w:pPr>
      <w:r w:rsidRPr="00733C13">
        <w:rPr>
          <w:color w:val="000000"/>
          <w:u w:val="single"/>
        </w:rPr>
        <w:t xml:space="preserve">- </w:t>
      </w:r>
      <w:r w:rsidR="008A3237" w:rsidRPr="00733C13">
        <w:rPr>
          <w:color w:val="000000"/>
          <w:u w:val="single"/>
        </w:rPr>
        <w:t>2.3.1. A települési önkormányzatok szociális célú tüzelőanyag vásárlásához kapcsolódó támogatása jogcím</w:t>
      </w:r>
    </w:p>
    <w:p w:rsidR="008A3237" w:rsidRDefault="00697E52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2.3</w:t>
      </w:r>
      <w:r w:rsidR="008A3237">
        <w:rPr>
          <w:color w:val="000000"/>
        </w:rPr>
        <w:t>.1.</w:t>
      </w:r>
      <w:r>
        <w:rPr>
          <w:color w:val="000000"/>
        </w:rPr>
        <w:t>1.</w:t>
      </w:r>
      <w:r w:rsidR="008A3237">
        <w:rPr>
          <w:color w:val="000000"/>
        </w:rPr>
        <w:t xml:space="preserve"> A jogcím az 5 000 fő lakosságszámot meg nem haladó önkormányzat szociális célú tüzelőanyag - tűzifa vagy barnakőszén - vásárlásának támogatására szolgál.</w:t>
      </w:r>
    </w:p>
    <w:p w:rsidR="008A3237" w:rsidRDefault="00697E52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2.3.1</w:t>
      </w:r>
      <w:r w:rsidR="008A3237">
        <w:rPr>
          <w:color w:val="000000"/>
        </w:rPr>
        <w:t>.2. A támogatást az önkormányzatok pályázati úton igényelhetik. A pályázatot a helyi önkormányzatokért felelős miniszter az államháztartásért felelős miniszter egyetértésével írja ki.</w:t>
      </w:r>
    </w:p>
    <w:p w:rsidR="008A3237" w:rsidRDefault="00697E52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8A3237">
        <w:rPr>
          <w:color w:val="000000"/>
        </w:rPr>
        <w:t>.3.</w:t>
      </w:r>
      <w:r w:rsidR="001941B5">
        <w:rPr>
          <w:color w:val="000000"/>
        </w:rPr>
        <w:t>1.3.</w:t>
      </w:r>
      <w:r w:rsidR="008A3237">
        <w:rPr>
          <w:color w:val="000000"/>
        </w:rPr>
        <w:t xml:space="preserve"> A támogatásról a helyi önkormányzatokért felelős miniszter dönt.</w:t>
      </w:r>
    </w:p>
    <w:p w:rsidR="008A3237" w:rsidRDefault="001941B5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8A3237">
        <w:rPr>
          <w:color w:val="000000"/>
        </w:rPr>
        <w:t>.</w:t>
      </w:r>
      <w:r>
        <w:rPr>
          <w:color w:val="000000"/>
        </w:rPr>
        <w:t>3.1.</w:t>
      </w:r>
      <w:r w:rsidR="008A3237">
        <w:rPr>
          <w:color w:val="000000"/>
        </w:rPr>
        <w:t>4. A támogatás folyósítása előfinanszírozás keretében, egy összegben történik.</w:t>
      </w:r>
    </w:p>
    <w:p w:rsidR="008A3237" w:rsidRDefault="001941B5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8A3237">
        <w:rPr>
          <w:color w:val="000000"/>
        </w:rPr>
        <w:t>.</w:t>
      </w:r>
      <w:r>
        <w:rPr>
          <w:color w:val="000000"/>
        </w:rPr>
        <w:t>3.1.</w:t>
      </w:r>
      <w:r w:rsidR="008A3237">
        <w:rPr>
          <w:color w:val="000000"/>
        </w:rPr>
        <w:t>5. A támogatás felhasználásának határideje a tárgyévet követő év március 31-e.</w:t>
      </w:r>
    </w:p>
    <w:p w:rsidR="001941B5" w:rsidRDefault="001941B5" w:rsidP="008A3237">
      <w:pPr>
        <w:pStyle w:val="NormlWeb"/>
        <w:shd w:val="clear" w:color="auto" w:fill="FFFFFF"/>
        <w:spacing w:before="0" w:beforeAutospacing="0" w:after="45" w:afterAutospacing="0"/>
        <w:ind w:firstLine="240"/>
        <w:jc w:val="both"/>
        <w:rPr>
          <w:color w:val="000000"/>
        </w:rPr>
      </w:pPr>
    </w:p>
    <w:p w:rsidR="008A3237" w:rsidRPr="00733C13" w:rsidRDefault="001941B5" w:rsidP="001941B5">
      <w:pPr>
        <w:pStyle w:val="NormlWeb"/>
        <w:shd w:val="clear" w:color="auto" w:fill="FFFFFF"/>
        <w:spacing w:before="0" w:beforeAutospacing="0" w:after="45" w:afterAutospacing="0"/>
        <w:jc w:val="both"/>
        <w:rPr>
          <w:color w:val="000000"/>
          <w:u w:val="single"/>
        </w:rPr>
      </w:pPr>
      <w:r w:rsidRPr="00733C13">
        <w:rPr>
          <w:color w:val="000000"/>
          <w:u w:val="single"/>
        </w:rPr>
        <w:t xml:space="preserve">- </w:t>
      </w:r>
      <w:r w:rsidR="008A3237" w:rsidRPr="00733C13">
        <w:rPr>
          <w:color w:val="000000"/>
          <w:u w:val="single"/>
        </w:rPr>
        <w:t>2.4.7. Települési önkormányzatok kulturális feladatainak bérjellegű támogatása jogcím</w:t>
      </w:r>
    </w:p>
    <w:p w:rsidR="008A3237" w:rsidRDefault="001941B5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2.4.7</w:t>
      </w:r>
      <w:r w:rsidR="008A3237">
        <w:rPr>
          <w:color w:val="000000"/>
        </w:rPr>
        <w:t>.1. A jogcím a kulturális feladatokat ellátó intézményekben foglalkoztatottak bérjellegű kiadásainak támogatását szolgálja.</w:t>
      </w:r>
    </w:p>
    <w:p w:rsidR="008A3237" w:rsidRDefault="001941B5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2.4.</w:t>
      </w:r>
      <w:r w:rsidR="008A3237">
        <w:rPr>
          <w:color w:val="000000"/>
        </w:rPr>
        <w:t>7.2. Az önkormányzatokat megillető, szervezetenként megállapított támogatás éves összegét a kultúráért felelős miniszter tárgyév január 8-áig állapítja meg.</w:t>
      </w:r>
    </w:p>
    <w:p w:rsidR="008A3237" w:rsidRDefault="001941B5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2.4.</w:t>
      </w:r>
      <w:r w:rsidR="008A3237">
        <w:rPr>
          <w:color w:val="000000"/>
        </w:rPr>
        <w:t>7.3. A támogatás 12%-</w:t>
      </w:r>
      <w:proofErr w:type="spellStart"/>
      <w:r w:rsidR="008A3237">
        <w:rPr>
          <w:color w:val="000000"/>
        </w:rPr>
        <w:t>ának</w:t>
      </w:r>
      <w:proofErr w:type="spellEnd"/>
      <w:r w:rsidR="008A3237">
        <w:rPr>
          <w:color w:val="000000"/>
        </w:rPr>
        <w:t xml:space="preserve"> folyósítása január hónap utolsó munkanapját megelőző második munkanapon, majd ezt követően az </w:t>
      </w:r>
      <w:proofErr w:type="spellStart"/>
      <w:r w:rsidR="00D6461D">
        <w:fldChar w:fldCharType="begin"/>
      </w:r>
      <w:r w:rsidR="00D6461D">
        <w:instrText xml:space="preserve"> HYPERLINK "https://jogkodex.hu/jsz/avr_2011_368_korm_rendelet_1508285" \t "_blank" </w:instrText>
      </w:r>
      <w:r w:rsidR="00D6461D">
        <w:fldChar w:fldCharType="separate"/>
      </w:r>
      <w:r w:rsidR="008A3237">
        <w:rPr>
          <w:rStyle w:val="Hiperhivatkozs"/>
          <w:color w:val="0040DF"/>
        </w:rPr>
        <w:t>Ávr</w:t>
      </w:r>
      <w:proofErr w:type="spellEnd"/>
      <w:r w:rsidR="008A3237">
        <w:rPr>
          <w:rStyle w:val="Hiperhivatkozs"/>
          <w:color w:val="0040DF"/>
        </w:rPr>
        <w:t>.</w:t>
      </w:r>
      <w:r w:rsidR="00D6461D">
        <w:rPr>
          <w:rStyle w:val="Hiperhivatkozs"/>
          <w:color w:val="0040DF"/>
        </w:rPr>
        <w:fldChar w:fldCharType="end"/>
      </w:r>
      <w:r w:rsidR="008A3237">
        <w:rPr>
          <w:color w:val="000000"/>
        </w:rPr>
        <w:t>-</w:t>
      </w:r>
      <w:proofErr w:type="spellStart"/>
      <w:r w:rsidR="008A3237">
        <w:rPr>
          <w:color w:val="000000"/>
        </w:rPr>
        <w:t>ben</w:t>
      </w:r>
      <w:proofErr w:type="spellEnd"/>
      <w:r w:rsidR="008A3237">
        <w:rPr>
          <w:color w:val="000000"/>
        </w:rPr>
        <w:t xml:space="preserve"> meghatározottak szerint történik.</w:t>
      </w:r>
    </w:p>
    <w:p w:rsidR="008A3237" w:rsidRDefault="001941B5" w:rsidP="001941B5">
      <w:pPr>
        <w:pStyle w:val="NormlWeb"/>
        <w:shd w:val="clear" w:color="auto" w:fill="FFFFFF"/>
        <w:spacing w:before="0" w:beforeAutospacing="0" w:after="45" w:afterAutospacing="0"/>
        <w:ind w:left="284"/>
        <w:jc w:val="both"/>
        <w:rPr>
          <w:color w:val="000000"/>
        </w:rPr>
      </w:pPr>
      <w:r>
        <w:rPr>
          <w:color w:val="000000"/>
        </w:rPr>
        <w:t>2.4.</w:t>
      </w:r>
      <w:r w:rsidR="008A3237">
        <w:rPr>
          <w:color w:val="000000"/>
        </w:rPr>
        <w:t xml:space="preserve">7.4. A támogatás szempontjából kizárólag a 0820 Kulturális szolgáltatások csoportba tartozó kormányzati </w:t>
      </w:r>
      <w:proofErr w:type="gramStart"/>
      <w:r w:rsidR="008A3237">
        <w:rPr>
          <w:color w:val="000000"/>
        </w:rPr>
        <w:t>funkciókon</w:t>
      </w:r>
      <w:proofErr w:type="gramEnd"/>
      <w:r w:rsidR="008A3237">
        <w:rPr>
          <w:color w:val="000000"/>
        </w:rPr>
        <w:t xml:space="preserve"> elszámolt kiadások vehetők figyelembe. A támogatás felhasználási határideje a tárgyév december 31-e.</w:t>
      </w:r>
    </w:p>
    <w:p w:rsidR="006B139E" w:rsidRPr="00711ED3" w:rsidRDefault="00BD07C3" w:rsidP="006048AA">
      <w:pPr>
        <w:autoSpaceDE w:val="0"/>
        <w:autoSpaceDN w:val="0"/>
        <w:adjustRightInd w:val="0"/>
        <w:spacing w:before="240"/>
        <w:jc w:val="both"/>
      </w:pPr>
      <w:r w:rsidRPr="00711ED3">
        <w:t>A 202</w:t>
      </w:r>
      <w:r w:rsidR="00F24B6A">
        <w:t>4</w:t>
      </w:r>
      <w:r w:rsidR="00BE4084" w:rsidRPr="00711ED3">
        <w:t xml:space="preserve">. évi mutatószám felmérés </w:t>
      </w:r>
      <w:r w:rsidR="00F24B6A">
        <w:t>alapján 208 </w:t>
      </w:r>
      <w:r w:rsidR="00F24912" w:rsidRPr="00711ED3">
        <w:t>1</w:t>
      </w:r>
      <w:r w:rsidR="00F24B6A">
        <w:t>71 e</w:t>
      </w:r>
      <w:r w:rsidR="00F24912" w:rsidRPr="00711ED3">
        <w:t xml:space="preserve"> Ft volt az igényelt támogatás, az önkormányzati szolid</w:t>
      </w:r>
      <w:r w:rsidR="00632E91">
        <w:t>aritási hozzájárulás összege 48 502 e</w:t>
      </w:r>
      <w:r w:rsidR="00F24912" w:rsidRPr="00711ED3">
        <w:t xml:space="preserve"> Ft. </w:t>
      </w:r>
      <w:r w:rsidR="00632E91">
        <w:t xml:space="preserve">A </w:t>
      </w:r>
      <w:r w:rsidR="00B662E1" w:rsidRPr="00711ED3">
        <w:t>202</w:t>
      </w:r>
      <w:r w:rsidR="00F24912" w:rsidRPr="00711ED3">
        <w:t>5</w:t>
      </w:r>
      <w:r w:rsidR="00B662E1" w:rsidRPr="00711ED3">
        <w:t>. évben a</w:t>
      </w:r>
      <w:r w:rsidR="00816652">
        <w:t xml:space="preserve"> mutatószám felmérés alapján igényelt összeg</w:t>
      </w:r>
      <w:r w:rsidR="00B662E1" w:rsidRPr="00711ED3">
        <w:t xml:space="preserve"> </w:t>
      </w:r>
      <w:r w:rsidR="00816652">
        <w:t>260 748</w:t>
      </w:r>
      <w:r w:rsidR="00F24912" w:rsidRPr="00711ED3">
        <w:t xml:space="preserve"> </w:t>
      </w:r>
      <w:r w:rsidR="00816652">
        <w:t>e Ft</w:t>
      </w:r>
      <w:r w:rsidR="00100559" w:rsidRPr="00711ED3">
        <w:t xml:space="preserve">, az önkormányzati szolidaritási hozzájárulás összege azonban </w:t>
      </w:r>
      <w:r w:rsidR="00F24912" w:rsidRPr="00711ED3">
        <w:t>még ismeretlen</w:t>
      </w:r>
      <w:r w:rsidR="00816652">
        <w:t xml:space="preserve">, de </w:t>
      </w:r>
      <w:r w:rsidR="00733C13">
        <w:t xml:space="preserve">az előzetes </w:t>
      </w:r>
      <w:proofErr w:type="gramStart"/>
      <w:r w:rsidR="00733C13">
        <w:t>információk</w:t>
      </w:r>
      <w:proofErr w:type="gramEnd"/>
      <w:r w:rsidR="00733C13">
        <w:t xml:space="preserve"> </w:t>
      </w:r>
      <w:r w:rsidR="00816652">
        <w:t>alapján növekedni fog</w:t>
      </w:r>
      <w:r w:rsidR="00100559" w:rsidRPr="00711ED3">
        <w:t>.</w:t>
      </w:r>
    </w:p>
    <w:p w:rsidR="0053625D" w:rsidRPr="00F855EF" w:rsidRDefault="0053625D" w:rsidP="00F855EF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before="240"/>
        <w:ind w:left="709" w:hanging="785"/>
        <w:jc w:val="both"/>
        <w:rPr>
          <w:i/>
        </w:rPr>
      </w:pPr>
      <w:r w:rsidRPr="00F855EF">
        <w:rPr>
          <w:i/>
        </w:rPr>
        <w:t>Közhatalmi bevételek</w:t>
      </w:r>
      <w:r w:rsidR="00091EE4" w:rsidRPr="00F855EF">
        <w:rPr>
          <w:i/>
        </w:rPr>
        <w:t xml:space="preserve"> – B3</w:t>
      </w:r>
    </w:p>
    <w:p w:rsidR="00091EE4" w:rsidRPr="00711ED3" w:rsidRDefault="00091EE4" w:rsidP="001075CB">
      <w:pPr>
        <w:autoSpaceDE w:val="0"/>
        <w:autoSpaceDN w:val="0"/>
        <w:adjustRightInd w:val="0"/>
        <w:spacing w:before="120"/>
        <w:jc w:val="both"/>
      </w:pPr>
      <w:r w:rsidRPr="00711ED3">
        <w:t xml:space="preserve">A tételek között a belföldi gépjárművek után a települési önkormányzat </w:t>
      </w:r>
      <w:r w:rsidR="001075CB" w:rsidRPr="00711ED3">
        <w:t>települési önkormányzat önkormányzati adóhatósága által megállapított gépjárműadóhoz kapcsolódó bírságból, pótlékból és végrehajtási költségből származó bevétel 100%-</w:t>
      </w:r>
      <w:proofErr w:type="gramStart"/>
      <w:r w:rsidR="001075CB" w:rsidRPr="00711ED3">
        <w:t>a</w:t>
      </w:r>
      <w:proofErr w:type="gramEnd"/>
      <w:r w:rsidR="001075CB" w:rsidRPr="00711ED3">
        <w:t xml:space="preserve"> , </w:t>
      </w:r>
      <w:r w:rsidRPr="00711ED3">
        <w:t>valamint a helyi adórendeletben szereplő adónemek beszedéséből származó összeg tervezhető.</w:t>
      </w:r>
      <w:r w:rsidR="00C57162" w:rsidRPr="00711ED3">
        <w:t xml:space="preserve"> A tervezésnél figyelembe kell venni, hogy a helyi adó</w:t>
      </w:r>
      <w:r w:rsidR="005C7E24" w:rsidRPr="00711ED3">
        <w:t xml:space="preserve"> rendeletben milyen adómértékek kerülnek meghatározásra.</w:t>
      </w:r>
    </w:p>
    <w:p w:rsidR="0023163B" w:rsidRPr="00711ED3" w:rsidRDefault="00BD07C3" w:rsidP="00EF520F">
      <w:pPr>
        <w:autoSpaceDE w:val="0"/>
        <w:autoSpaceDN w:val="0"/>
        <w:adjustRightInd w:val="0"/>
        <w:spacing w:before="120"/>
        <w:jc w:val="both"/>
      </w:pPr>
      <w:r w:rsidRPr="00711ED3">
        <w:t>Az önkormányzat 202</w:t>
      </w:r>
      <w:r w:rsidR="00F24912" w:rsidRPr="00711ED3">
        <w:t>5</w:t>
      </w:r>
      <w:r w:rsidR="0023163B" w:rsidRPr="00711ED3">
        <w:t>. évben új adónem</w:t>
      </w:r>
      <w:r w:rsidR="00816652">
        <w:t>et nem vezetett be</w:t>
      </w:r>
      <w:r w:rsidR="001075CB" w:rsidRPr="00711ED3">
        <w:t xml:space="preserve">, az egyes adómértékek emelésére </w:t>
      </w:r>
      <w:r w:rsidR="00816652">
        <w:t>sem</w:t>
      </w:r>
      <w:r w:rsidR="008812BB" w:rsidRPr="00711ED3">
        <w:t xml:space="preserve"> </w:t>
      </w:r>
      <w:r w:rsidR="001075CB" w:rsidRPr="00711ED3">
        <w:t>kerül</w:t>
      </w:r>
      <w:r w:rsidR="008812BB" w:rsidRPr="00711ED3">
        <w:t xml:space="preserve"> sor</w:t>
      </w:r>
      <w:r w:rsidR="001075CB" w:rsidRPr="00711ED3">
        <w:t xml:space="preserve">. </w:t>
      </w:r>
      <w:r w:rsidR="0023163B" w:rsidRPr="00711ED3">
        <w:t>A helyi adók rendszere nem változik.</w:t>
      </w:r>
      <w:r w:rsidR="00841476" w:rsidRPr="00711ED3">
        <w:t xml:space="preserve"> Az adóbevételek </w:t>
      </w:r>
      <w:proofErr w:type="gramStart"/>
      <w:r w:rsidR="00841476" w:rsidRPr="00711ED3">
        <w:t>realizálásához</w:t>
      </w:r>
      <w:proofErr w:type="gramEnd"/>
      <w:r w:rsidR="00841476" w:rsidRPr="00711ED3">
        <w:t xml:space="preserve"> továbbra is hatékony adófelderítési munkára van szükség, kiemelt jelentőségű feladat az új adóalanyok felderítése. Fontos, hogy az adó</w:t>
      </w:r>
      <w:r w:rsidRPr="00711ED3">
        <w:t>hátralékok szigorú behajtása 202</w:t>
      </w:r>
      <w:r w:rsidR="00F24912" w:rsidRPr="00711ED3">
        <w:t>5</w:t>
      </w:r>
      <w:r w:rsidR="00816652">
        <w:t>. évben is tovább folytatódjon</w:t>
      </w:r>
      <w:r w:rsidR="00841476" w:rsidRPr="00711ED3">
        <w:t>.</w:t>
      </w:r>
    </w:p>
    <w:p w:rsidR="0053625D" w:rsidRPr="00711ED3" w:rsidRDefault="0053625D" w:rsidP="00F855EF">
      <w:pPr>
        <w:numPr>
          <w:ilvl w:val="0"/>
          <w:numId w:val="31"/>
        </w:numPr>
        <w:autoSpaceDE w:val="0"/>
        <w:autoSpaceDN w:val="0"/>
        <w:adjustRightInd w:val="0"/>
        <w:spacing w:before="240"/>
        <w:ind w:left="601" w:hanging="601"/>
        <w:jc w:val="both"/>
        <w:rPr>
          <w:i/>
        </w:rPr>
      </w:pPr>
      <w:r w:rsidRPr="00711ED3">
        <w:rPr>
          <w:i/>
        </w:rPr>
        <w:t>Működési bevételek</w:t>
      </w:r>
      <w:r w:rsidR="00C57162" w:rsidRPr="00711ED3">
        <w:rPr>
          <w:i/>
        </w:rPr>
        <w:t xml:space="preserve"> – B4</w:t>
      </w:r>
    </w:p>
    <w:p w:rsidR="00C57162" w:rsidRPr="00711ED3" w:rsidRDefault="00C57162" w:rsidP="00EF520F">
      <w:pPr>
        <w:autoSpaceDE w:val="0"/>
        <w:autoSpaceDN w:val="0"/>
        <w:adjustRightInd w:val="0"/>
        <w:spacing w:before="120"/>
        <w:jc w:val="both"/>
      </w:pPr>
      <w:r w:rsidRPr="00711ED3">
        <w:rPr>
          <w:bCs/>
        </w:rPr>
        <w:t>A működési bevételek, amelyek a készletek és szolgáltatások értékesítésekor kapott ellenértékből, a tulajdonosi bevételekből, közterület-használatból, bérbeadásból, ellátási díjakból, a kapott kamatokból és más hasonló, a működés során keletkező bevételekből származnak.</w:t>
      </w:r>
    </w:p>
    <w:p w:rsidR="0053625D" w:rsidRPr="00711ED3" w:rsidRDefault="0053625D" w:rsidP="00F855EF">
      <w:pPr>
        <w:numPr>
          <w:ilvl w:val="0"/>
          <w:numId w:val="31"/>
        </w:numPr>
        <w:autoSpaceDE w:val="0"/>
        <w:autoSpaceDN w:val="0"/>
        <w:adjustRightInd w:val="0"/>
        <w:spacing w:before="240"/>
        <w:ind w:left="601" w:hanging="601"/>
        <w:jc w:val="both"/>
        <w:rPr>
          <w:i/>
        </w:rPr>
      </w:pPr>
      <w:r w:rsidRPr="00711ED3">
        <w:rPr>
          <w:i/>
        </w:rPr>
        <w:t>Felhalmozási bevételek</w:t>
      </w:r>
      <w:r w:rsidR="00C57162" w:rsidRPr="00711ED3">
        <w:rPr>
          <w:i/>
        </w:rPr>
        <w:t xml:space="preserve"> – B5</w:t>
      </w:r>
    </w:p>
    <w:p w:rsidR="00C57162" w:rsidRPr="00711ED3" w:rsidRDefault="00C57162" w:rsidP="00EF520F">
      <w:pPr>
        <w:autoSpaceDE w:val="0"/>
        <w:autoSpaceDN w:val="0"/>
        <w:adjustRightInd w:val="0"/>
        <w:spacing w:before="120"/>
        <w:jc w:val="both"/>
      </w:pPr>
      <w:r w:rsidRPr="00711ED3">
        <w:t>Ingatlanok, egyéb tárgyi eszközök, részesedések értékesítéséből származó bevétel eredeti előirányzatként nem tervezhető.</w:t>
      </w:r>
    </w:p>
    <w:p w:rsidR="0053625D" w:rsidRPr="00F855EF" w:rsidRDefault="0053625D" w:rsidP="00F855EF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before="240"/>
        <w:ind w:left="567" w:hanging="643"/>
        <w:jc w:val="both"/>
        <w:rPr>
          <w:i/>
        </w:rPr>
      </w:pPr>
      <w:r w:rsidRPr="00F855EF">
        <w:rPr>
          <w:i/>
        </w:rPr>
        <w:t>Működési célú átvett pénzeszközök</w:t>
      </w:r>
      <w:r w:rsidR="00C57162" w:rsidRPr="00F855EF">
        <w:rPr>
          <w:i/>
        </w:rPr>
        <w:t xml:space="preserve"> – B6</w:t>
      </w:r>
    </w:p>
    <w:p w:rsidR="00C57162" w:rsidRPr="009C0E2A" w:rsidRDefault="009C0E2A" w:rsidP="00EF520F">
      <w:pPr>
        <w:autoSpaceDE w:val="0"/>
        <w:autoSpaceDN w:val="0"/>
        <w:adjustRightInd w:val="0"/>
        <w:spacing w:before="120"/>
        <w:jc w:val="both"/>
      </w:pPr>
      <w:r w:rsidRPr="009C0E2A">
        <w:t>Nem tervezünk</w:t>
      </w:r>
      <w:r w:rsidR="00E12316" w:rsidRPr="009C0E2A">
        <w:t>.</w:t>
      </w:r>
    </w:p>
    <w:p w:rsidR="0053625D" w:rsidRPr="009C0E2A" w:rsidRDefault="0053625D" w:rsidP="00F855EF">
      <w:pPr>
        <w:numPr>
          <w:ilvl w:val="0"/>
          <w:numId w:val="31"/>
        </w:numPr>
        <w:autoSpaceDE w:val="0"/>
        <w:autoSpaceDN w:val="0"/>
        <w:adjustRightInd w:val="0"/>
        <w:spacing w:before="240"/>
        <w:ind w:left="601" w:hanging="601"/>
        <w:jc w:val="both"/>
        <w:rPr>
          <w:i/>
        </w:rPr>
      </w:pPr>
      <w:r w:rsidRPr="009C0E2A">
        <w:rPr>
          <w:i/>
        </w:rPr>
        <w:t>Felhalmozási célú átvett pénzeszközök</w:t>
      </w:r>
      <w:r w:rsidR="00E12316" w:rsidRPr="009C0E2A">
        <w:rPr>
          <w:i/>
        </w:rPr>
        <w:t xml:space="preserve"> – B7</w:t>
      </w:r>
    </w:p>
    <w:p w:rsidR="00F15410" w:rsidRPr="009C0E2A" w:rsidRDefault="009C0E2A" w:rsidP="00EF520F">
      <w:pPr>
        <w:autoSpaceDE w:val="0"/>
        <w:autoSpaceDN w:val="0"/>
        <w:adjustRightInd w:val="0"/>
        <w:spacing w:before="120"/>
        <w:jc w:val="both"/>
      </w:pPr>
      <w:r w:rsidRPr="009C0E2A">
        <w:t>Nem tervezünk</w:t>
      </w:r>
      <w:r w:rsidR="00E12316" w:rsidRPr="009C0E2A">
        <w:t>.</w:t>
      </w:r>
    </w:p>
    <w:p w:rsidR="00E12316" w:rsidRPr="00711ED3" w:rsidRDefault="00E12316" w:rsidP="00EF520F">
      <w:pPr>
        <w:autoSpaceDE w:val="0"/>
        <w:autoSpaceDN w:val="0"/>
        <w:adjustRightInd w:val="0"/>
        <w:spacing w:before="120"/>
        <w:jc w:val="both"/>
      </w:pPr>
    </w:p>
    <w:p w:rsidR="00932106" w:rsidRPr="00711ED3" w:rsidRDefault="00932106" w:rsidP="002F446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/>
        </w:rPr>
      </w:pPr>
      <w:r w:rsidRPr="00711ED3">
        <w:rPr>
          <w:b/>
        </w:rPr>
        <w:t>Kiadások</w:t>
      </w:r>
    </w:p>
    <w:p w:rsidR="00932106" w:rsidRPr="00711ED3" w:rsidRDefault="00932106" w:rsidP="008856C5">
      <w:pPr>
        <w:autoSpaceDE w:val="0"/>
        <w:autoSpaceDN w:val="0"/>
        <w:adjustRightInd w:val="0"/>
        <w:jc w:val="both"/>
      </w:pPr>
    </w:p>
    <w:p w:rsidR="00E12316" w:rsidRPr="00711ED3" w:rsidRDefault="00B87ECA" w:rsidP="00E12316">
      <w:pPr>
        <w:pStyle w:val="Cm"/>
        <w:spacing w:before="120"/>
        <w:jc w:val="both"/>
        <w:rPr>
          <w:rFonts w:ascii="Times New Roman" w:hAnsi="Times New Roman"/>
          <w:i/>
          <w:szCs w:val="24"/>
        </w:rPr>
      </w:pPr>
      <w:r w:rsidRPr="00711ED3">
        <w:rPr>
          <w:rFonts w:ascii="Times New Roman" w:hAnsi="Times New Roman"/>
          <w:i/>
          <w:szCs w:val="24"/>
        </w:rPr>
        <w:t>4</w:t>
      </w:r>
      <w:r w:rsidR="00E12316" w:rsidRPr="00711ED3">
        <w:rPr>
          <w:rFonts w:ascii="Times New Roman" w:hAnsi="Times New Roman"/>
          <w:i/>
          <w:szCs w:val="24"/>
        </w:rPr>
        <w:t>.1.</w:t>
      </w:r>
      <w:r w:rsidR="00E12316" w:rsidRPr="00711ED3">
        <w:rPr>
          <w:rFonts w:ascii="Times New Roman" w:hAnsi="Times New Roman"/>
          <w:i/>
          <w:szCs w:val="24"/>
        </w:rPr>
        <w:tab/>
        <w:t>Működési kiadások között az alábbi tételek kerülnek tervezésre</w:t>
      </w:r>
    </w:p>
    <w:p w:rsidR="008856C5" w:rsidRPr="00711ED3" w:rsidRDefault="008856C5" w:rsidP="00E12316">
      <w:pPr>
        <w:pStyle w:val="Cm"/>
        <w:spacing w:before="120"/>
        <w:jc w:val="both"/>
        <w:rPr>
          <w:rFonts w:ascii="Times New Roman" w:hAnsi="Times New Roman"/>
          <w:bCs/>
          <w:iCs/>
          <w:szCs w:val="24"/>
        </w:rPr>
      </w:pPr>
      <w:r w:rsidRPr="00711ED3">
        <w:rPr>
          <w:rFonts w:ascii="Times New Roman" w:hAnsi="Times New Roman"/>
          <w:bCs/>
          <w:iCs/>
          <w:szCs w:val="24"/>
        </w:rPr>
        <w:t xml:space="preserve">A működési kiadások tervezése során kiemelt szempont a takarékosság és hatékonyság érvényesítése. Az </w:t>
      </w:r>
      <w:proofErr w:type="gramStart"/>
      <w:r w:rsidRPr="00711ED3">
        <w:rPr>
          <w:rFonts w:ascii="Times New Roman" w:hAnsi="Times New Roman"/>
          <w:bCs/>
          <w:iCs/>
          <w:szCs w:val="24"/>
        </w:rPr>
        <w:t xml:space="preserve">összkiadás </w:t>
      </w:r>
      <w:r w:rsidR="00DC228C" w:rsidRPr="00711ED3">
        <w:rPr>
          <w:rFonts w:ascii="Times New Roman" w:hAnsi="Times New Roman"/>
          <w:bCs/>
          <w:iCs/>
          <w:szCs w:val="24"/>
        </w:rPr>
        <w:t>döntő</w:t>
      </w:r>
      <w:proofErr w:type="gramEnd"/>
      <w:r w:rsidR="00DC228C" w:rsidRPr="00711ED3">
        <w:rPr>
          <w:rFonts w:ascii="Times New Roman" w:hAnsi="Times New Roman"/>
          <w:bCs/>
          <w:iCs/>
          <w:szCs w:val="24"/>
        </w:rPr>
        <w:t xml:space="preserve"> hányad</w:t>
      </w:r>
      <w:r w:rsidRPr="00711ED3">
        <w:rPr>
          <w:rFonts w:ascii="Times New Roman" w:hAnsi="Times New Roman"/>
          <w:bCs/>
          <w:iCs/>
          <w:szCs w:val="24"/>
        </w:rPr>
        <w:t>át a működési költségek teszik ki</w:t>
      </w:r>
      <w:r w:rsidR="001075CB" w:rsidRPr="00711ED3">
        <w:rPr>
          <w:rFonts w:ascii="Times New Roman" w:hAnsi="Times New Roman"/>
          <w:bCs/>
          <w:iCs/>
          <w:szCs w:val="24"/>
        </w:rPr>
        <w:t>.</w:t>
      </w:r>
    </w:p>
    <w:p w:rsidR="00E12316" w:rsidRPr="00711ED3" w:rsidRDefault="00E12316" w:rsidP="00E12316">
      <w:pPr>
        <w:pStyle w:val="Cm"/>
        <w:spacing w:before="120"/>
        <w:jc w:val="both"/>
        <w:rPr>
          <w:rFonts w:ascii="Times New Roman" w:hAnsi="Times New Roman"/>
          <w:bCs/>
          <w:szCs w:val="24"/>
        </w:rPr>
      </w:pPr>
      <w:proofErr w:type="gramStart"/>
      <w:r w:rsidRPr="00711ED3">
        <w:rPr>
          <w:rFonts w:ascii="Times New Roman" w:hAnsi="Times New Roman"/>
          <w:bCs/>
          <w:i/>
          <w:iCs/>
          <w:szCs w:val="24"/>
        </w:rPr>
        <w:t>a</w:t>
      </w:r>
      <w:proofErr w:type="gramEnd"/>
      <w:r w:rsidRPr="00711ED3">
        <w:rPr>
          <w:rFonts w:ascii="Times New Roman" w:hAnsi="Times New Roman"/>
          <w:bCs/>
          <w:i/>
          <w:iCs/>
          <w:szCs w:val="24"/>
        </w:rPr>
        <w:t>)</w:t>
      </w:r>
      <w:r w:rsidR="00841476" w:rsidRPr="00711ED3">
        <w:rPr>
          <w:rFonts w:ascii="Times New Roman" w:hAnsi="Times New Roman"/>
          <w:bCs/>
          <w:i/>
          <w:iCs/>
          <w:szCs w:val="24"/>
        </w:rPr>
        <w:t xml:space="preserve"> </w:t>
      </w:r>
      <w:r w:rsidR="008856C5" w:rsidRPr="00711ED3">
        <w:rPr>
          <w:rFonts w:ascii="Times New Roman" w:hAnsi="Times New Roman"/>
          <w:bCs/>
          <w:szCs w:val="24"/>
        </w:rPr>
        <w:t xml:space="preserve">K – 1: </w:t>
      </w:r>
      <w:r w:rsidRPr="00711ED3">
        <w:rPr>
          <w:rFonts w:ascii="Times New Roman" w:hAnsi="Times New Roman"/>
          <w:bCs/>
          <w:szCs w:val="24"/>
        </w:rPr>
        <w:t>a személyi juttatások, amelyek a foglalkoztatottaknak kifizetett illetményből, munkabérből és más juttatásokból, valamint a nem foglalkoztatott természetes személyeknek juttatott más jövedelmek megfizetéséből származnak,</w:t>
      </w:r>
    </w:p>
    <w:p w:rsidR="00E12316" w:rsidRPr="00E52A5A" w:rsidRDefault="00E12316" w:rsidP="00E52A5A">
      <w:pPr>
        <w:pStyle w:val="Cmsor2"/>
        <w:shd w:val="clear" w:color="auto" w:fill="FFFFFF"/>
        <w:spacing w:before="300" w:after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A tervezés során első lépés a kötelező feladatok ellátásához szükséges létszám meghatározása. Majd a hatályos</w:t>
      </w:r>
      <w:r w:rsidR="00816652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központi </w:t>
      </w:r>
      <w:r w:rsidR="00E52A5A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szabályozás alapján meghatározott illetményekkel 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kell számolni a 20</w:t>
      </w:r>
      <w:r w:rsidR="00513E4B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1530A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december – </w:t>
      </w:r>
      <w:r w:rsidR="00BD07C3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202</w:t>
      </w:r>
      <w:r w:rsidR="0051530A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="00BD07C3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100559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november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közötti időszakra eső bértömeget, figyelembe véve B</w:t>
      </w:r>
      <w:r w:rsidR="00E52A5A" w:rsidRPr="00E52A5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erzence Nagyközség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Képviselő</w:t>
      </w:r>
      <w:r w:rsidR="00E52A5A" w:rsidRPr="00E52A5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-testületének 3/2023.(II.28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.) önkormányzati rendeletét </w:t>
      </w:r>
      <w:r w:rsidR="00E52A5A" w:rsidRPr="00E52A5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a képviselő-testületi tagok, bizottsági elnökök és bizottsági tagok, valamint a bizottságok nem képviselő-testületi tagjainak tiszteletdíjáról és természetbeni juttatásairól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2A06C8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 tervezésnél a 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tételes </w:t>
      </w:r>
      <w:proofErr w:type="gramStart"/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analitikus</w:t>
      </w:r>
      <w:proofErr w:type="gramEnd"/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kimutatás tudja biztosítani a költségvetés megalapozottságát</w:t>
      </w:r>
      <w:r w:rsidR="002A06C8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, a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létszám, személyi juttatások és járulékok soron kimutatott összegek kö</w:t>
      </w:r>
      <w:r w:rsidR="00F64674" w:rsidRPr="00E52A5A">
        <w:rPr>
          <w:rFonts w:ascii="Times New Roman" w:hAnsi="Times New Roman" w:cs="Times New Roman"/>
          <w:b w:val="0"/>
          <w:i w:val="0"/>
          <w:sz w:val="24"/>
          <w:szCs w:val="24"/>
        </w:rPr>
        <w:t>zötti összefüggések biztosítása elvárt</w:t>
      </w:r>
      <w:r w:rsidRPr="00E52A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 tervezés során.</w:t>
      </w:r>
    </w:p>
    <w:p w:rsidR="00E12316" w:rsidRPr="00E52A5A" w:rsidRDefault="00E12316" w:rsidP="00E52A5A">
      <w:pPr>
        <w:pStyle w:val="Cm"/>
        <w:spacing w:before="120"/>
        <w:jc w:val="both"/>
        <w:rPr>
          <w:rFonts w:ascii="Times New Roman" w:hAnsi="Times New Roman"/>
          <w:szCs w:val="24"/>
        </w:rPr>
      </w:pPr>
      <w:r w:rsidRPr="00E52A5A">
        <w:rPr>
          <w:rFonts w:ascii="Times New Roman" w:hAnsi="Times New Roman"/>
          <w:bCs/>
          <w:iCs/>
          <w:szCs w:val="24"/>
        </w:rPr>
        <w:t>b)</w:t>
      </w:r>
      <w:r w:rsidR="002A3190" w:rsidRPr="00E52A5A">
        <w:rPr>
          <w:rFonts w:ascii="Times New Roman" w:hAnsi="Times New Roman"/>
          <w:bCs/>
          <w:iCs/>
          <w:szCs w:val="24"/>
        </w:rPr>
        <w:t xml:space="preserve"> </w:t>
      </w:r>
      <w:r w:rsidR="008856C5" w:rsidRPr="00E52A5A">
        <w:rPr>
          <w:rFonts w:ascii="Times New Roman" w:hAnsi="Times New Roman"/>
          <w:bCs/>
          <w:szCs w:val="24"/>
        </w:rPr>
        <w:t xml:space="preserve">K – 2: </w:t>
      </w:r>
      <w:r w:rsidRPr="00E52A5A">
        <w:rPr>
          <w:rFonts w:ascii="Times New Roman" w:hAnsi="Times New Roman"/>
          <w:bCs/>
          <w:szCs w:val="24"/>
        </w:rPr>
        <w:t>a munkaadókat terhelő járulékok és szociális hozzájárulási adó, amelyet a kifizetést teljesítő megfizetni köteles,</w:t>
      </w:r>
      <w:r w:rsidR="002A3190" w:rsidRPr="00E52A5A">
        <w:rPr>
          <w:rFonts w:ascii="Times New Roman" w:hAnsi="Times New Roman"/>
          <w:bCs/>
          <w:szCs w:val="24"/>
        </w:rPr>
        <w:t xml:space="preserve"> mértéke </w:t>
      </w:r>
      <w:r w:rsidR="00513E4B" w:rsidRPr="00E52A5A">
        <w:rPr>
          <w:rFonts w:ascii="Times New Roman" w:hAnsi="Times New Roman"/>
          <w:bCs/>
          <w:szCs w:val="24"/>
        </w:rPr>
        <w:t xml:space="preserve">várhatóan </w:t>
      </w:r>
      <w:r w:rsidR="002A3190" w:rsidRPr="00E52A5A">
        <w:rPr>
          <w:rFonts w:ascii="Times New Roman" w:hAnsi="Times New Roman"/>
          <w:bCs/>
          <w:szCs w:val="24"/>
        </w:rPr>
        <w:t>1</w:t>
      </w:r>
      <w:r w:rsidR="00100559" w:rsidRPr="00E52A5A">
        <w:rPr>
          <w:rFonts w:ascii="Times New Roman" w:hAnsi="Times New Roman"/>
          <w:bCs/>
          <w:szCs w:val="24"/>
        </w:rPr>
        <w:t>3</w:t>
      </w:r>
      <w:r w:rsidR="00841476" w:rsidRPr="00E52A5A">
        <w:rPr>
          <w:rFonts w:ascii="Times New Roman" w:hAnsi="Times New Roman"/>
          <w:bCs/>
          <w:szCs w:val="24"/>
        </w:rPr>
        <w:t>,</w:t>
      </w:r>
      <w:r w:rsidR="00100559" w:rsidRPr="00E52A5A">
        <w:rPr>
          <w:rFonts w:ascii="Times New Roman" w:hAnsi="Times New Roman"/>
          <w:bCs/>
          <w:szCs w:val="24"/>
        </w:rPr>
        <w:t>0</w:t>
      </w:r>
      <w:r w:rsidR="00841476" w:rsidRPr="00E52A5A">
        <w:rPr>
          <w:rFonts w:ascii="Times New Roman" w:hAnsi="Times New Roman"/>
          <w:bCs/>
          <w:szCs w:val="24"/>
        </w:rPr>
        <w:t xml:space="preserve"> %,</w:t>
      </w:r>
    </w:p>
    <w:p w:rsidR="00E12316" w:rsidRPr="00711ED3" w:rsidRDefault="00E12316" w:rsidP="00E12316">
      <w:pPr>
        <w:pStyle w:val="Cm"/>
        <w:spacing w:before="120"/>
        <w:jc w:val="both"/>
        <w:rPr>
          <w:rFonts w:ascii="Times New Roman" w:hAnsi="Times New Roman"/>
          <w:bCs/>
          <w:szCs w:val="24"/>
        </w:rPr>
      </w:pPr>
      <w:r w:rsidRPr="00711ED3">
        <w:rPr>
          <w:rFonts w:ascii="Times New Roman" w:hAnsi="Times New Roman"/>
          <w:bCs/>
          <w:i/>
          <w:iCs/>
          <w:szCs w:val="24"/>
        </w:rPr>
        <w:t>c)</w:t>
      </w:r>
      <w:r w:rsidR="002A3190" w:rsidRPr="00711ED3">
        <w:rPr>
          <w:rFonts w:ascii="Times New Roman" w:hAnsi="Times New Roman"/>
          <w:bCs/>
          <w:i/>
          <w:iCs/>
          <w:szCs w:val="24"/>
        </w:rPr>
        <w:t xml:space="preserve"> </w:t>
      </w:r>
      <w:r w:rsidR="008856C5" w:rsidRPr="00711ED3">
        <w:rPr>
          <w:rFonts w:ascii="Times New Roman" w:hAnsi="Times New Roman"/>
          <w:bCs/>
          <w:szCs w:val="24"/>
        </w:rPr>
        <w:t xml:space="preserve">K – 3: </w:t>
      </w:r>
      <w:r w:rsidRPr="00711ED3">
        <w:rPr>
          <w:rFonts w:ascii="Times New Roman" w:hAnsi="Times New Roman"/>
          <w:bCs/>
          <w:szCs w:val="24"/>
        </w:rPr>
        <w:t>a dologi kiadások, amelyek a készletek és szolgáltatások vásárlása, más befizetési kötelezett</w:t>
      </w:r>
      <w:r w:rsidR="00816652">
        <w:rPr>
          <w:rFonts w:ascii="Times New Roman" w:hAnsi="Times New Roman"/>
          <w:bCs/>
          <w:szCs w:val="24"/>
        </w:rPr>
        <w:t xml:space="preserve">ségek teljesítése </w:t>
      </w:r>
      <w:r w:rsidRPr="00711ED3">
        <w:rPr>
          <w:rFonts w:ascii="Times New Roman" w:hAnsi="Times New Roman"/>
          <w:bCs/>
          <w:szCs w:val="24"/>
        </w:rPr>
        <w:t>és más, a működés során keletkező kiadások teljesítéséből származnak,</w:t>
      </w:r>
    </w:p>
    <w:p w:rsidR="00D6323C" w:rsidRPr="00711ED3" w:rsidRDefault="00D6323C" w:rsidP="00E12316">
      <w:pPr>
        <w:pStyle w:val="Cm"/>
        <w:spacing w:before="120"/>
        <w:jc w:val="both"/>
        <w:rPr>
          <w:rFonts w:ascii="Times New Roman" w:hAnsi="Times New Roman"/>
          <w:bCs/>
          <w:szCs w:val="24"/>
        </w:rPr>
      </w:pPr>
      <w:r w:rsidRPr="00711ED3">
        <w:rPr>
          <w:rFonts w:ascii="Times New Roman" w:hAnsi="Times New Roman"/>
          <w:bCs/>
          <w:szCs w:val="24"/>
        </w:rPr>
        <w:t>A dologi kiadások tervezésénél az ésszerű</w:t>
      </w:r>
      <w:r w:rsidR="00513E4B" w:rsidRPr="00711ED3">
        <w:rPr>
          <w:rFonts w:ascii="Times New Roman" w:hAnsi="Times New Roman"/>
          <w:bCs/>
          <w:szCs w:val="24"/>
        </w:rPr>
        <w:t xml:space="preserve"> </w:t>
      </w:r>
      <w:r w:rsidRPr="00711ED3">
        <w:rPr>
          <w:rFonts w:ascii="Times New Roman" w:hAnsi="Times New Roman"/>
          <w:bCs/>
          <w:szCs w:val="24"/>
        </w:rPr>
        <w:t>takarékosság követelményének érvényesítése céljából felül kell vizsgálni az egyes kiadások alakulását, rangsorolni kell a feladatokat. A költségvetési szerv dologi kiadásainak jelentős hányadát az épületek, építmények fenntartásával kapcsolatos, s a közüzemi szolgáltatások igénybevétele teszi ki, ezen tételeket minden más kiadást megelőzően meg kell tervezni, s a fedezetét biztosítani.</w:t>
      </w:r>
    </w:p>
    <w:p w:rsidR="00E12316" w:rsidRPr="00711ED3" w:rsidRDefault="00E12316" w:rsidP="00E12316">
      <w:pPr>
        <w:pStyle w:val="Cm"/>
        <w:spacing w:before="120"/>
        <w:jc w:val="both"/>
        <w:rPr>
          <w:rFonts w:ascii="Times New Roman" w:hAnsi="Times New Roman"/>
          <w:bCs/>
          <w:szCs w:val="24"/>
        </w:rPr>
      </w:pPr>
      <w:r w:rsidRPr="00711ED3">
        <w:rPr>
          <w:rFonts w:ascii="Times New Roman" w:hAnsi="Times New Roman"/>
          <w:bCs/>
          <w:szCs w:val="24"/>
        </w:rPr>
        <w:t>A</w:t>
      </w:r>
      <w:r w:rsidR="00513E4B" w:rsidRPr="00711ED3">
        <w:rPr>
          <w:rFonts w:ascii="Times New Roman" w:hAnsi="Times New Roman"/>
          <w:bCs/>
          <w:szCs w:val="24"/>
        </w:rPr>
        <w:t xml:space="preserve"> dologi kiadásokat a 202</w:t>
      </w:r>
      <w:r w:rsidR="0051530A" w:rsidRPr="00711ED3">
        <w:rPr>
          <w:rFonts w:ascii="Times New Roman" w:hAnsi="Times New Roman"/>
          <w:bCs/>
          <w:szCs w:val="24"/>
        </w:rPr>
        <w:t>4</w:t>
      </w:r>
      <w:r w:rsidRPr="00711ED3">
        <w:rPr>
          <w:rFonts w:ascii="Times New Roman" w:hAnsi="Times New Roman"/>
          <w:bCs/>
          <w:szCs w:val="24"/>
        </w:rPr>
        <w:t xml:space="preserve">. évi eredeti előirányzat, illetve a </w:t>
      </w:r>
      <w:r w:rsidR="00FE3E4C" w:rsidRPr="00711ED3">
        <w:rPr>
          <w:rFonts w:ascii="Times New Roman" w:hAnsi="Times New Roman"/>
          <w:bCs/>
          <w:szCs w:val="24"/>
        </w:rPr>
        <w:t>nove</w:t>
      </w:r>
      <w:r w:rsidR="002A3190" w:rsidRPr="00711ED3">
        <w:rPr>
          <w:rFonts w:ascii="Times New Roman" w:hAnsi="Times New Roman"/>
          <w:bCs/>
          <w:szCs w:val="24"/>
        </w:rPr>
        <w:t>mberi teljesítés, valamint a 202</w:t>
      </w:r>
      <w:r w:rsidR="0051530A" w:rsidRPr="00711ED3">
        <w:rPr>
          <w:rFonts w:ascii="Times New Roman" w:hAnsi="Times New Roman"/>
          <w:bCs/>
          <w:szCs w:val="24"/>
        </w:rPr>
        <w:t>5</w:t>
      </w:r>
      <w:r w:rsidRPr="00711ED3">
        <w:rPr>
          <w:rFonts w:ascii="Times New Roman" w:hAnsi="Times New Roman"/>
          <w:bCs/>
          <w:szCs w:val="24"/>
        </w:rPr>
        <w:t xml:space="preserve">. évre szóló kötelezettségvállalások figyelembe vételével </w:t>
      </w:r>
      <w:r w:rsidR="008856C5" w:rsidRPr="00711ED3">
        <w:rPr>
          <w:rFonts w:ascii="Times New Roman" w:hAnsi="Times New Roman"/>
          <w:bCs/>
          <w:szCs w:val="24"/>
        </w:rPr>
        <w:t xml:space="preserve">kell </w:t>
      </w:r>
      <w:r w:rsidRPr="00711ED3">
        <w:rPr>
          <w:rFonts w:ascii="Times New Roman" w:hAnsi="Times New Roman"/>
          <w:bCs/>
          <w:szCs w:val="24"/>
        </w:rPr>
        <w:t>meghatározni.</w:t>
      </w:r>
    </w:p>
    <w:p w:rsidR="000F727F" w:rsidRPr="00711ED3" w:rsidRDefault="0091740C" w:rsidP="00E12316">
      <w:pPr>
        <w:pStyle w:val="Cm"/>
        <w:spacing w:before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K</w:t>
      </w:r>
      <w:r w:rsidR="000F727F" w:rsidRPr="00711ED3">
        <w:rPr>
          <w:rFonts w:ascii="Times New Roman" w:hAnsi="Times New Roman"/>
          <w:bCs/>
          <w:szCs w:val="24"/>
        </w:rPr>
        <w:t xml:space="preserve">iemelt figyelmet </w:t>
      </w:r>
      <w:r>
        <w:rPr>
          <w:rFonts w:ascii="Times New Roman" w:hAnsi="Times New Roman"/>
          <w:bCs/>
          <w:szCs w:val="24"/>
        </w:rPr>
        <w:t>kell fordítani</w:t>
      </w:r>
      <w:r w:rsidR="000F727F" w:rsidRPr="00711ED3">
        <w:rPr>
          <w:rFonts w:ascii="Times New Roman" w:hAnsi="Times New Roman"/>
          <w:bCs/>
          <w:szCs w:val="24"/>
        </w:rPr>
        <w:t xml:space="preserve"> a közműdíjak tervezés</w:t>
      </w:r>
      <w:r>
        <w:rPr>
          <w:rFonts w:ascii="Times New Roman" w:hAnsi="Times New Roman"/>
          <w:bCs/>
          <w:szCs w:val="24"/>
        </w:rPr>
        <w:t>ére</w:t>
      </w:r>
      <w:r w:rsidR="000F727F" w:rsidRPr="00711ED3">
        <w:rPr>
          <w:rFonts w:ascii="Times New Roman" w:hAnsi="Times New Roman"/>
          <w:bCs/>
          <w:szCs w:val="24"/>
        </w:rPr>
        <w:t>.</w:t>
      </w:r>
    </w:p>
    <w:p w:rsidR="00CC7B29" w:rsidRPr="00711ED3" w:rsidRDefault="00CC7B29" w:rsidP="008856C5">
      <w:pPr>
        <w:pStyle w:val="Cm"/>
        <w:spacing w:before="60"/>
        <w:jc w:val="both"/>
        <w:rPr>
          <w:rFonts w:ascii="Times New Roman" w:hAnsi="Times New Roman"/>
          <w:bCs/>
          <w:szCs w:val="24"/>
        </w:rPr>
      </w:pPr>
      <w:r w:rsidRPr="00711ED3">
        <w:rPr>
          <w:rFonts w:ascii="Times New Roman" w:hAnsi="Times New Roman"/>
          <w:bCs/>
          <w:szCs w:val="24"/>
        </w:rPr>
        <w:t>A</w:t>
      </w:r>
      <w:r w:rsidR="00901A6D" w:rsidRPr="00711ED3">
        <w:rPr>
          <w:rFonts w:ascii="Times New Roman" w:hAnsi="Times New Roman"/>
          <w:bCs/>
          <w:szCs w:val="24"/>
        </w:rPr>
        <w:t xml:space="preserve"> bölcsődei, óvodai feladatok ellátása, gyermekétkez</w:t>
      </w:r>
      <w:r w:rsidR="00E52A5A">
        <w:rPr>
          <w:rFonts w:ascii="Times New Roman" w:hAnsi="Times New Roman"/>
          <w:bCs/>
          <w:szCs w:val="24"/>
        </w:rPr>
        <w:t xml:space="preserve">tetés biztosítása </w:t>
      </w:r>
      <w:r w:rsidR="00901A6D" w:rsidRPr="00711ED3">
        <w:rPr>
          <w:rFonts w:ascii="Times New Roman" w:hAnsi="Times New Roman"/>
          <w:bCs/>
          <w:szCs w:val="24"/>
        </w:rPr>
        <w:t xml:space="preserve">önkormányzati feladat, </w:t>
      </w:r>
      <w:r w:rsidR="0091740C">
        <w:rPr>
          <w:rFonts w:ascii="Times New Roman" w:hAnsi="Times New Roman"/>
          <w:bCs/>
          <w:szCs w:val="24"/>
        </w:rPr>
        <w:t>a tervezésnél költség</w:t>
      </w:r>
      <w:r w:rsidR="00901A6D" w:rsidRPr="00711ED3">
        <w:rPr>
          <w:rFonts w:ascii="Times New Roman" w:hAnsi="Times New Roman"/>
          <w:bCs/>
          <w:szCs w:val="24"/>
        </w:rPr>
        <w:t>hatékony</w:t>
      </w:r>
      <w:r w:rsidR="0091740C">
        <w:rPr>
          <w:rFonts w:ascii="Times New Roman" w:hAnsi="Times New Roman"/>
          <w:bCs/>
          <w:szCs w:val="24"/>
        </w:rPr>
        <w:t>ság elvét kell szem előtt tartani. A szociális-, illetve a gyermekétkeztetés térítési díjait a vonatkozó önkormányzati rendeletben meghatározottak szerint felül kell vizsgálni</w:t>
      </w:r>
      <w:r w:rsidRPr="00711ED3">
        <w:rPr>
          <w:rFonts w:ascii="Times New Roman" w:hAnsi="Times New Roman"/>
          <w:bCs/>
          <w:szCs w:val="24"/>
        </w:rPr>
        <w:t>.</w:t>
      </w:r>
    </w:p>
    <w:p w:rsidR="00CC7B29" w:rsidRPr="00711ED3" w:rsidRDefault="0091740C" w:rsidP="008856C5">
      <w:pPr>
        <w:pStyle w:val="Cm"/>
        <w:spacing w:before="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 </w:t>
      </w:r>
      <w:r w:rsidR="002A3190" w:rsidRPr="00711ED3">
        <w:rPr>
          <w:rFonts w:ascii="Times New Roman" w:hAnsi="Times New Roman"/>
          <w:bCs/>
          <w:szCs w:val="24"/>
        </w:rPr>
        <w:t>konyha 202</w:t>
      </w:r>
      <w:r w:rsidR="0051530A" w:rsidRPr="00711ED3">
        <w:rPr>
          <w:rFonts w:ascii="Times New Roman" w:hAnsi="Times New Roman"/>
          <w:bCs/>
          <w:szCs w:val="24"/>
        </w:rPr>
        <w:t>5</w:t>
      </w:r>
      <w:r w:rsidR="00CC7B29" w:rsidRPr="00711ED3">
        <w:rPr>
          <w:rFonts w:ascii="Times New Roman" w:hAnsi="Times New Roman"/>
          <w:bCs/>
          <w:szCs w:val="24"/>
        </w:rPr>
        <w:t xml:space="preserve">. </w:t>
      </w:r>
      <w:r>
        <w:rPr>
          <w:rFonts w:ascii="Times New Roman" w:hAnsi="Times New Roman"/>
          <w:bCs/>
          <w:szCs w:val="24"/>
        </w:rPr>
        <w:t xml:space="preserve">évi működését </w:t>
      </w:r>
      <w:r w:rsidR="002664A7" w:rsidRPr="00711ED3">
        <w:rPr>
          <w:rFonts w:ascii="Times New Roman" w:hAnsi="Times New Roman"/>
          <w:bCs/>
          <w:szCs w:val="24"/>
        </w:rPr>
        <w:t>az</w:t>
      </w:r>
      <w:r>
        <w:rPr>
          <w:rFonts w:ascii="Times New Roman" w:hAnsi="Times New Roman"/>
          <w:bCs/>
          <w:szCs w:val="24"/>
        </w:rPr>
        <w:t xml:space="preserve"> óvoda</w:t>
      </w:r>
      <w:r w:rsidR="002664A7" w:rsidRPr="00711ED3">
        <w:rPr>
          <w:rFonts w:ascii="Times New Roman" w:hAnsi="Times New Roman"/>
          <w:bCs/>
          <w:szCs w:val="24"/>
        </w:rPr>
        <w:t xml:space="preserve"> </w:t>
      </w:r>
      <w:r w:rsidR="00190FFE" w:rsidRPr="00711ED3">
        <w:rPr>
          <w:rFonts w:ascii="Times New Roman" w:hAnsi="Times New Roman"/>
          <w:bCs/>
          <w:szCs w:val="24"/>
        </w:rPr>
        <w:t xml:space="preserve">költségvetésében </w:t>
      </w:r>
      <w:r w:rsidR="00CC7B29" w:rsidRPr="00711ED3">
        <w:rPr>
          <w:rFonts w:ascii="Times New Roman" w:hAnsi="Times New Roman"/>
          <w:bCs/>
          <w:szCs w:val="24"/>
        </w:rPr>
        <w:t>külön szakfeladatként kell tervezni, hogy mind a bevételei, mind a kiadásai elkülöníthetők legyenek.</w:t>
      </w:r>
    </w:p>
    <w:p w:rsidR="00901A6D" w:rsidRDefault="00901A6D" w:rsidP="00901A6D">
      <w:pPr>
        <w:pStyle w:val="Cm"/>
        <w:spacing w:before="60"/>
        <w:jc w:val="both"/>
        <w:rPr>
          <w:rFonts w:ascii="Times New Roman" w:hAnsi="Times New Roman"/>
          <w:bCs/>
          <w:szCs w:val="24"/>
        </w:rPr>
      </w:pPr>
      <w:r w:rsidRPr="00711ED3">
        <w:rPr>
          <w:rFonts w:ascii="Times New Roman" w:hAnsi="Times New Roman"/>
          <w:bCs/>
          <w:szCs w:val="24"/>
        </w:rPr>
        <w:t>A civil szervezetek, sporttevékenység, tűzoltóság támogatására biztosí</w:t>
      </w:r>
      <w:r w:rsidR="00CC7B29" w:rsidRPr="00711ED3">
        <w:rPr>
          <w:rFonts w:ascii="Times New Roman" w:hAnsi="Times New Roman"/>
          <w:bCs/>
          <w:szCs w:val="24"/>
        </w:rPr>
        <w:t>tott keretösszeg megfelel a 20</w:t>
      </w:r>
      <w:r w:rsidR="001075CB" w:rsidRPr="00711ED3">
        <w:rPr>
          <w:rFonts w:ascii="Times New Roman" w:hAnsi="Times New Roman"/>
          <w:bCs/>
          <w:szCs w:val="24"/>
        </w:rPr>
        <w:t>2</w:t>
      </w:r>
      <w:r w:rsidR="000F727F" w:rsidRPr="00711ED3">
        <w:rPr>
          <w:rFonts w:ascii="Times New Roman" w:hAnsi="Times New Roman"/>
          <w:bCs/>
          <w:szCs w:val="24"/>
        </w:rPr>
        <w:t>4</w:t>
      </w:r>
      <w:r w:rsidRPr="00711ED3">
        <w:rPr>
          <w:rFonts w:ascii="Times New Roman" w:hAnsi="Times New Roman"/>
          <w:bCs/>
          <w:szCs w:val="24"/>
        </w:rPr>
        <w:t>. évi összegnek, felosztása bizottsági</w:t>
      </w:r>
      <w:r w:rsidR="002A3190" w:rsidRPr="00711ED3">
        <w:rPr>
          <w:rFonts w:ascii="Times New Roman" w:hAnsi="Times New Roman"/>
          <w:bCs/>
          <w:szCs w:val="24"/>
        </w:rPr>
        <w:t>,</w:t>
      </w:r>
      <w:r w:rsidRPr="00711ED3">
        <w:rPr>
          <w:rFonts w:ascii="Times New Roman" w:hAnsi="Times New Roman"/>
          <w:bCs/>
          <w:szCs w:val="24"/>
        </w:rPr>
        <w:t xml:space="preserve"> testületi döntés függvényében alakul.</w:t>
      </w:r>
    </w:p>
    <w:p w:rsidR="008069C9" w:rsidRDefault="008069C9" w:rsidP="008069C9">
      <w:pPr>
        <w:jc w:val="both"/>
      </w:pPr>
    </w:p>
    <w:p w:rsidR="008069C9" w:rsidRDefault="008069C9" w:rsidP="008069C9">
      <w:pPr>
        <w:jc w:val="both"/>
      </w:pPr>
      <w:r>
        <w:t>Berzence Nagyközség Önkormányzata és Dr. Vargáné Dr. Bagó Borbála háziorvos, Berzence II. számú háziorvosi körzet között kötött feladat-ellátási szerződés 2024. szeptember 1. napjával</w:t>
      </w:r>
      <w:r w:rsidRPr="005733D1">
        <w:t xml:space="preserve"> </w:t>
      </w:r>
      <w:r>
        <w:t>megszűnt. A feladatellátás a továbbiakban az Önkormányzatra száll vissza. Az Önkormányzat, mint engedélyes kell, hogy gondoskodjon a II. számú háziorvosi körzet alapellátásának biztosításáról. A megszűnés időpontjától kezdve az önálló orvosi tevékenységről szóló 2000. évi II. törvény végrehajtásáról szóló 313/2011. (XII. 23.) Korm. rendelet 13/</w:t>
      </w:r>
      <w:proofErr w:type="gramStart"/>
      <w:r>
        <w:t>A</w:t>
      </w:r>
      <w:proofErr w:type="gramEnd"/>
      <w:r>
        <w:t xml:space="preserve">. § (1) bekezdése szerint 6 hónapon át jogosult még Dr. Vargáné Dr. Bagó Borbála a praxisjog elidegenítésére (2024. szeptember 01-től 2025. február 28-ig), de az egészségügy területét érintő jelentős jogszabályváltozások, a háziorvosi feladatok </w:t>
      </w:r>
      <w:proofErr w:type="gramStart"/>
      <w:r>
        <w:t>finanszírozása</w:t>
      </w:r>
      <w:proofErr w:type="gramEnd"/>
      <w:r>
        <w:t>, az ügyeleti rendszer háziorvosokat is nagyban érintő változásai miatt igen kicsi az esély arra, hogy a körzetbe háziorvos jöjjön. A fentiek miatt közép-hosszú távon számolni kell azzal, hogy a II. számú háziorvosi körzet fenntartása az Önkormányzat feladata lesz.</w:t>
      </w:r>
    </w:p>
    <w:p w:rsidR="00E12316" w:rsidRPr="00711ED3" w:rsidRDefault="00E12316" w:rsidP="00E12316">
      <w:pPr>
        <w:pStyle w:val="Cm"/>
        <w:spacing w:before="120"/>
        <w:jc w:val="both"/>
        <w:rPr>
          <w:rFonts w:ascii="Times New Roman" w:hAnsi="Times New Roman"/>
          <w:bCs/>
          <w:szCs w:val="24"/>
        </w:rPr>
      </w:pPr>
      <w:r w:rsidRPr="00711ED3">
        <w:rPr>
          <w:rFonts w:ascii="Times New Roman" w:hAnsi="Times New Roman"/>
          <w:bCs/>
          <w:i/>
          <w:iCs/>
          <w:szCs w:val="24"/>
        </w:rPr>
        <w:t>d)</w:t>
      </w:r>
      <w:r w:rsidR="002A3190" w:rsidRPr="00711ED3">
        <w:rPr>
          <w:rFonts w:ascii="Times New Roman" w:hAnsi="Times New Roman"/>
          <w:bCs/>
          <w:i/>
          <w:iCs/>
          <w:szCs w:val="24"/>
        </w:rPr>
        <w:t xml:space="preserve"> </w:t>
      </w:r>
      <w:r w:rsidR="008856C5" w:rsidRPr="00711ED3">
        <w:rPr>
          <w:rFonts w:ascii="Times New Roman" w:hAnsi="Times New Roman"/>
          <w:bCs/>
          <w:szCs w:val="24"/>
        </w:rPr>
        <w:t xml:space="preserve">K – 4: </w:t>
      </w:r>
      <w:r w:rsidRPr="00711ED3">
        <w:rPr>
          <w:rFonts w:ascii="Times New Roman" w:hAnsi="Times New Roman"/>
          <w:bCs/>
          <w:szCs w:val="24"/>
        </w:rPr>
        <w:t>az ellátottak pénzbeli juttatásai, amelyek a természetes személyeknek betegséggel, lakhatással vagy más okból megfizetett ellátási típusú kifizetésekből származnak,</w:t>
      </w:r>
    </w:p>
    <w:p w:rsidR="00BC7ED2" w:rsidRPr="00711ED3" w:rsidRDefault="00BC7ED2" w:rsidP="00E12316">
      <w:pPr>
        <w:pStyle w:val="Cm"/>
        <w:spacing w:before="120"/>
        <w:jc w:val="both"/>
        <w:rPr>
          <w:rFonts w:ascii="Times New Roman" w:hAnsi="Times New Roman"/>
          <w:bCs/>
          <w:szCs w:val="24"/>
        </w:rPr>
      </w:pPr>
      <w:r w:rsidRPr="00711ED3">
        <w:rPr>
          <w:rFonts w:ascii="Times New Roman" w:hAnsi="Times New Roman"/>
          <w:bCs/>
          <w:szCs w:val="24"/>
        </w:rPr>
        <w:t>A települési támogatások folyósításakor meg kell őrizni az elmúlt években kialakított helyi támogatási formákat (rendkívüli élethelyzet támogatása, temetés költségeinek viseléséhez nyújtott támogatás, gyógyszertá</w:t>
      </w:r>
      <w:r w:rsidR="0091740C">
        <w:rPr>
          <w:rFonts w:ascii="Times New Roman" w:hAnsi="Times New Roman"/>
          <w:bCs/>
          <w:szCs w:val="24"/>
        </w:rPr>
        <w:t>mogatás, tüzelőanyag juttatás stb.</w:t>
      </w:r>
      <w:r w:rsidRPr="00711ED3">
        <w:rPr>
          <w:rFonts w:ascii="Times New Roman" w:hAnsi="Times New Roman"/>
          <w:bCs/>
          <w:szCs w:val="24"/>
        </w:rPr>
        <w:t>).</w:t>
      </w:r>
    </w:p>
    <w:p w:rsidR="00E12316" w:rsidRPr="00711ED3" w:rsidRDefault="00E12316" w:rsidP="00E12316">
      <w:pPr>
        <w:pStyle w:val="Cm"/>
        <w:spacing w:before="120"/>
        <w:jc w:val="both"/>
        <w:rPr>
          <w:rFonts w:ascii="Times New Roman" w:hAnsi="Times New Roman"/>
          <w:bCs/>
          <w:szCs w:val="24"/>
        </w:rPr>
      </w:pPr>
      <w:proofErr w:type="gramStart"/>
      <w:r w:rsidRPr="00711ED3">
        <w:rPr>
          <w:rFonts w:ascii="Times New Roman" w:hAnsi="Times New Roman"/>
          <w:bCs/>
          <w:i/>
          <w:iCs/>
          <w:szCs w:val="24"/>
        </w:rPr>
        <w:t>e</w:t>
      </w:r>
      <w:proofErr w:type="gramEnd"/>
      <w:r w:rsidRPr="00711ED3">
        <w:rPr>
          <w:rFonts w:ascii="Times New Roman" w:hAnsi="Times New Roman"/>
          <w:bCs/>
          <w:i/>
          <w:iCs/>
          <w:szCs w:val="24"/>
        </w:rPr>
        <w:t>)</w:t>
      </w:r>
      <w:r w:rsidR="0079100A" w:rsidRPr="00711ED3">
        <w:rPr>
          <w:rFonts w:ascii="Times New Roman" w:hAnsi="Times New Roman"/>
          <w:bCs/>
          <w:i/>
          <w:iCs/>
          <w:szCs w:val="24"/>
        </w:rPr>
        <w:t xml:space="preserve"> </w:t>
      </w:r>
      <w:r w:rsidR="008856C5" w:rsidRPr="00711ED3">
        <w:rPr>
          <w:rFonts w:ascii="Times New Roman" w:hAnsi="Times New Roman"/>
          <w:bCs/>
          <w:szCs w:val="24"/>
        </w:rPr>
        <w:t>K - 5:</w:t>
      </w:r>
      <w:r w:rsidR="0079100A" w:rsidRPr="00711ED3">
        <w:rPr>
          <w:rFonts w:ascii="Times New Roman" w:hAnsi="Times New Roman"/>
          <w:bCs/>
          <w:szCs w:val="24"/>
        </w:rPr>
        <w:t xml:space="preserve"> </w:t>
      </w:r>
      <w:r w:rsidRPr="00711ED3">
        <w:rPr>
          <w:rFonts w:ascii="Times New Roman" w:hAnsi="Times New Roman"/>
          <w:bCs/>
          <w:szCs w:val="24"/>
        </w:rPr>
        <w:t>az egyéb működési célú kiadások, amelyek a nemzetközi kötelezettségek teljesítéséből, az államháztartáson belülre vagy kívülre működési célból adott támogatásokból és más ellenérték nélküli kifizetésekből, valamint a más kiemelt előirányzaton nem szerepeltethető működési jellegű kiadásokból származnak.</w:t>
      </w:r>
    </w:p>
    <w:p w:rsidR="00E12316" w:rsidRPr="00711ED3" w:rsidRDefault="00B87ECA" w:rsidP="00E12316">
      <w:pPr>
        <w:pStyle w:val="Cm"/>
        <w:spacing w:before="120"/>
        <w:jc w:val="both"/>
        <w:rPr>
          <w:rFonts w:ascii="Times New Roman" w:hAnsi="Times New Roman"/>
          <w:i/>
          <w:szCs w:val="24"/>
        </w:rPr>
      </w:pPr>
      <w:r w:rsidRPr="00711ED3">
        <w:rPr>
          <w:rFonts w:ascii="Times New Roman" w:hAnsi="Times New Roman"/>
          <w:i/>
          <w:szCs w:val="24"/>
        </w:rPr>
        <w:t>4</w:t>
      </w:r>
      <w:r w:rsidR="00E12316" w:rsidRPr="00711ED3">
        <w:rPr>
          <w:rFonts w:ascii="Times New Roman" w:hAnsi="Times New Roman"/>
          <w:i/>
          <w:szCs w:val="24"/>
        </w:rPr>
        <w:t>.2.</w:t>
      </w:r>
      <w:r w:rsidR="00E12316" w:rsidRPr="00711ED3">
        <w:rPr>
          <w:rFonts w:ascii="Times New Roman" w:hAnsi="Times New Roman"/>
          <w:i/>
          <w:szCs w:val="24"/>
        </w:rPr>
        <w:tab/>
        <w:t>Felhalmozási kiadások között az alábbi tételek kerülnek tervezésre</w:t>
      </w:r>
    </w:p>
    <w:p w:rsidR="00E12316" w:rsidRPr="00711ED3" w:rsidRDefault="00E12316" w:rsidP="00E12316">
      <w:pPr>
        <w:pStyle w:val="Cm"/>
        <w:spacing w:before="120"/>
        <w:jc w:val="both"/>
        <w:rPr>
          <w:rFonts w:ascii="Times New Roman" w:hAnsi="Times New Roman"/>
          <w:szCs w:val="24"/>
        </w:rPr>
      </w:pPr>
      <w:proofErr w:type="gramStart"/>
      <w:r w:rsidRPr="00711ED3">
        <w:rPr>
          <w:rFonts w:ascii="Times New Roman" w:hAnsi="Times New Roman"/>
          <w:bCs/>
          <w:i/>
          <w:iCs/>
          <w:szCs w:val="24"/>
        </w:rPr>
        <w:t>a</w:t>
      </w:r>
      <w:proofErr w:type="gramEnd"/>
      <w:r w:rsidRPr="00711ED3">
        <w:rPr>
          <w:rFonts w:ascii="Times New Roman" w:hAnsi="Times New Roman"/>
          <w:bCs/>
          <w:i/>
          <w:iCs/>
          <w:szCs w:val="24"/>
        </w:rPr>
        <w:t>)</w:t>
      </w:r>
      <w:r w:rsidRPr="00711ED3">
        <w:rPr>
          <w:rFonts w:ascii="Times New Roman" w:hAnsi="Times New Roman"/>
          <w:bCs/>
          <w:szCs w:val="24"/>
        </w:rPr>
        <w:t xml:space="preserve"> a beruházások, amelyek az ingatlanok, tárgyi eszközök és más tartósan használt eszközök megszerzéséből, részesedések megszerzéséhez vagy növeléséhez kapcsolódó kiadások teljesítéséből származnak,</w:t>
      </w:r>
    </w:p>
    <w:p w:rsidR="00E12316" w:rsidRPr="00711ED3" w:rsidRDefault="00E12316" w:rsidP="00E12316">
      <w:pPr>
        <w:pStyle w:val="Cm"/>
        <w:spacing w:before="120"/>
        <w:jc w:val="both"/>
        <w:rPr>
          <w:rFonts w:ascii="Times New Roman" w:hAnsi="Times New Roman"/>
          <w:szCs w:val="24"/>
        </w:rPr>
      </w:pPr>
      <w:r w:rsidRPr="00711ED3">
        <w:rPr>
          <w:rFonts w:ascii="Times New Roman" w:hAnsi="Times New Roman"/>
          <w:bCs/>
          <w:i/>
          <w:iCs/>
          <w:szCs w:val="24"/>
        </w:rPr>
        <w:t>b)</w:t>
      </w:r>
      <w:r w:rsidRPr="00711ED3">
        <w:rPr>
          <w:rFonts w:ascii="Times New Roman" w:hAnsi="Times New Roman"/>
          <w:bCs/>
          <w:szCs w:val="24"/>
        </w:rPr>
        <w:t xml:space="preserve"> a felújítások, amelyek a tartósan használt eszközök felújításának kiadásaiból származnak,</w:t>
      </w:r>
    </w:p>
    <w:p w:rsidR="00E12316" w:rsidRPr="00711ED3" w:rsidRDefault="00E12316" w:rsidP="00E12316">
      <w:pPr>
        <w:pStyle w:val="Cm"/>
        <w:spacing w:before="120"/>
        <w:jc w:val="both"/>
        <w:rPr>
          <w:rFonts w:ascii="Times New Roman" w:hAnsi="Times New Roman"/>
          <w:szCs w:val="24"/>
        </w:rPr>
      </w:pPr>
      <w:r w:rsidRPr="00711ED3">
        <w:rPr>
          <w:rFonts w:ascii="Times New Roman" w:hAnsi="Times New Roman"/>
          <w:szCs w:val="24"/>
        </w:rPr>
        <w:t>Felhalmozási kiadások között tételesen, egyedileg a beruházás, beszer</w:t>
      </w:r>
      <w:r w:rsidR="00901A6D" w:rsidRPr="00711ED3">
        <w:rPr>
          <w:rFonts w:ascii="Times New Roman" w:hAnsi="Times New Roman"/>
          <w:szCs w:val="24"/>
        </w:rPr>
        <w:t>zés megnevezésével, történik</w:t>
      </w:r>
      <w:r w:rsidRPr="00711ED3">
        <w:rPr>
          <w:rFonts w:ascii="Times New Roman" w:hAnsi="Times New Roman"/>
          <w:szCs w:val="24"/>
        </w:rPr>
        <w:t xml:space="preserve"> a tervezés.</w:t>
      </w:r>
      <w:r w:rsidR="00901A6D" w:rsidRPr="00711ED3">
        <w:rPr>
          <w:rFonts w:ascii="Times New Roman" w:hAnsi="Times New Roman"/>
          <w:szCs w:val="24"/>
        </w:rPr>
        <w:t xml:space="preserve"> Itt figyelembe kell venni a korábbi testületi döntésen </w:t>
      </w:r>
      <w:r w:rsidR="00C6174C" w:rsidRPr="00711ED3">
        <w:rPr>
          <w:rFonts w:ascii="Times New Roman" w:hAnsi="Times New Roman"/>
          <w:szCs w:val="24"/>
        </w:rPr>
        <w:t>alapuló kiadásokat.</w:t>
      </w:r>
    </w:p>
    <w:p w:rsidR="00C6174C" w:rsidRPr="00711ED3" w:rsidRDefault="00C6174C" w:rsidP="00E12316">
      <w:pPr>
        <w:pStyle w:val="Cm"/>
        <w:spacing w:before="120"/>
        <w:jc w:val="both"/>
        <w:rPr>
          <w:rFonts w:ascii="Times New Roman" w:hAnsi="Times New Roman"/>
          <w:szCs w:val="24"/>
        </w:rPr>
      </w:pPr>
      <w:r w:rsidRPr="00711ED3">
        <w:rPr>
          <w:rFonts w:ascii="Times New Roman" w:hAnsi="Times New Roman"/>
          <w:szCs w:val="24"/>
        </w:rPr>
        <w:t>A felhalmozási kiadásoknál a 20</w:t>
      </w:r>
      <w:r w:rsidR="00513E4B" w:rsidRPr="00711ED3">
        <w:rPr>
          <w:rFonts w:ascii="Times New Roman" w:hAnsi="Times New Roman"/>
          <w:szCs w:val="24"/>
        </w:rPr>
        <w:t>2</w:t>
      </w:r>
      <w:r w:rsidR="000F727F" w:rsidRPr="00711ED3">
        <w:rPr>
          <w:rFonts w:ascii="Times New Roman" w:hAnsi="Times New Roman"/>
          <w:szCs w:val="24"/>
        </w:rPr>
        <w:t>4</w:t>
      </w:r>
      <w:r w:rsidRPr="00711ED3">
        <w:rPr>
          <w:rFonts w:ascii="Times New Roman" w:hAnsi="Times New Roman"/>
          <w:szCs w:val="24"/>
        </w:rPr>
        <w:t xml:space="preserve">. évről áthúzódó és kötelezettségvállalással terhelt, folyamatban lévő fejlesztéseket be kell tervezni, valamint figyelembe kell venni az előző évről áthúzódó meg nem valósult célokat is. A pályázati lehetőségek folyamatos vizsgálata mellett azonban újabb fejlesztések csak abban az esetben vállalhatók, amennyiben a támogatási </w:t>
      </w:r>
      <w:proofErr w:type="gramStart"/>
      <w:r w:rsidRPr="00711ED3">
        <w:rPr>
          <w:rFonts w:ascii="Times New Roman" w:hAnsi="Times New Roman"/>
          <w:szCs w:val="24"/>
        </w:rPr>
        <w:t>intenzitás kedvező</w:t>
      </w:r>
      <w:proofErr w:type="gramEnd"/>
      <w:r w:rsidRPr="00711ED3">
        <w:rPr>
          <w:rFonts w:ascii="Times New Roman" w:hAnsi="Times New Roman"/>
          <w:szCs w:val="24"/>
        </w:rPr>
        <w:t xml:space="preserve"> és az önerő biztosítható. A fejlesztési célokat rangsorolni kell különös tekintetében a pályázati források tekintetében.</w:t>
      </w:r>
      <w:r w:rsidR="002229A9" w:rsidRPr="00711ED3">
        <w:rPr>
          <w:rFonts w:ascii="Times New Roman" w:hAnsi="Times New Roman"/>
          <w:szCs w:val="24"/>
        </w:rPr>
        <w:t xml:space="preserve"> </w:t>
      </w:r>
    </w:p>
    <w:p w:rsidR="00783B35" w:rsidRDefault="002229A9" w:rsidP="002229A9">
      <w:pPr>
        <w:pStyle w:val="Cm"/>
        <w:spacing w:before="120"/>
        <w:jc w:val="both"/>
        <w:rPr>
          <w:rFonts w:ascii="Times New Roman" w:hAnsi="Times New Roman"/>
          <w:szCs w:val="24"/>
        </w:rPr>
      </w:pPr>
      <w:r w:rsidRPr="00711ED3">
        <w:rPr>
          <w:rFonts w:ascii="Times New Roman" w:hAnsi="Times New Roman"/>
          <w:szCs w:val="24"/>
        </w:rPr>
        <w:t>A kiemelt</w:t>
      </w:r>
      <w:r w:rsidR="0079100A" w:rsidRPr="00711ED3">
        <w:rPr>
          <w:rFonts w:ascii="Times New Roman" w:hAnsi="Times New Roman"/>
          <w:szCs w:val="24"/>
        </w:rPr>
        <w:t>,</w:t>
      </w:r>
      <w:r w:rsidRPr="00711ED3">
        <w:rPr>
          <w:rFonts w:ascii="Times New Roman" w:hAnsi="Times New Roman"/>
          <w:szCs w:val="24"/>
        </w:rPr>
        <w:t xml:space="preserve"> folyamatban lévő pályázat</w:t>
      </w:r>
      <w:r w:rsidR="0079100A" w:rsidRPr="00711ED3">
        <w:rPr>
          <w:rFonts w:ascii="Times New Roman" w:hAnsi="Times New Roman"/>
          <w:szCs w:val="24"/>
        </w:rPr>
        <w:t>ok</w:t>
      </w:r>
      <w:r w:rsidRPr="00711ED3">
        <w:rPr>
          <w:rFonts w:ascii="Times New Roman" w:hAnsi="Times New Roman"/>
          <w:szCs w:val="24"/>
        </w:rPr>
        <w:t xml:space="preserve"> megvalósítása (</w:t>
      </w:r>
      <w:r w:rsidR="00190FFE" w:rsidRPr="00711ED3">
        <w:rPr>
          <w:rFonts w:ascii="Times New Roman" w:hAnsi="Times New Roman"/>
          <w:szCs w:val="24"/>
        </w:rPr>
        <w:t>B</w:t>
      </w:r>
      <w:r w:rsidR="0091740C">
        <w:rPr>
          <w:rFonts w:ascii="Times New Roman" w:hAnsi="Times New Roman"/>
          <w:szCs w:val="24"/>
        </w:rPr>
        <w:t>elterületi vízrendezés Berzencén</w:t>
      </w:r>
      <w:r w:rsidR="00B9227F">
        <w:rPr>
          <w:rFonts w:ascii="Times New Roman" w:hAnsi="Times New Roman"/>
          <w:szCs w:val="24"/>
        </w:rPr>
        <w:t>) mellett javasolt</w:t>
      </w:r>
      <w:r w:rsidRPr="00711ED3">
        <w:rPr>
          <w:rFonts w:ascii="Times New Roman" w:hAnsi="Times New Roman"/>
          <w:szCs w:val="24"/>
        </w:rPr>
        <w:t xml:space="preserve"> a</w:t>
      </w:r>
      <w:r w:rsidR="0079100A" w:rsidRPr="00711ED3">
        <w:rPr>
          <w:rFonts w:ascii="Times New Roman" w:hAnsi="Times New Roman"/>
          <w:szCs w:val="24"/>
        </w:rPr>
        <w:t>z intézményhálózat</w:t>
      </w:r>
      <w:r w:rsidR="00B9227F">
        <w:rPr>
          <w:rFonts w:ascii="Times New Roman" w:hAnsi="Times New Roman"/>
          <w:szCs w:val="24"/>
        </w:rPr>
        <w:t>, az infrastrukturális létesítmények, illetve az önkormányzati tulajdon egyéb elemei</w:t>
      </w:r>
      <w:r w:rsidRPr="00711ED3">
        <w:rPr>
          <w:rFonts w:ascii="Times New Roman" w:hAnsi="Times New Roman"/>
          <w:szCs w:val="24"/>
        </w:rPr>
        <w:t xml:space="preserve"> </w:t>
      </w:r>
      <w:r w:rsidR="0079100A" w:rsidRPr="00711ED3">
        <w:rPr>
          <w:rFonts w:ascii="Times New Roman" w:hAnsi="Times New Roman"/>
          <w:szCs w:val="24"/>
        </w:rPr>
        <w:t>műszaki</w:t>
      </w:r>
      <w:r w:rsidR="00B9227F">
        <w:rPr>
          <w:rFonts w:ascii="Times New Roman" w:hAnsi="Times New Roman"/>
          <w:szCs w:val="24"/>
        </w:rPr>
        <w:t xml:space="preserve"> állapotának felmérése</w:t>
      </w:r>
      <w:r w:rsidRPr="00711ED3">
        <w:rPr>
          <w:rFonts w:ascii="Times New Roman" w:hAnsi="Times New Roman"/>
          <w:szCs w:val="24"/>
        </w:rPr>
        <w:t>.</w:t>
      </w:r>
      <w:r w:rsidR="009F38FF">
        <w:rPr>
          <w:rFonts w:ascii="Times New Roman" w:hAnsi="Times New Roman"/>
          <w:szCs w:val="24"/>
        </w:rPr>
        <w:t xml:space="preserve"> </w:t>
      </w:r>
    </w:p>
    <w:p w:rsidR="00783B35" w:rsidRDefault="009F38FF" w:rsidP="002229A9">
      <w:pPr>
        <w:pStyle w:val="Cm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Berzencei Zrínyi Miklós Művelődési Ház tetőszerkezetének felülvizsgálatára, feltérképezésére forrást kell elkülöníteni. A felújításhoz szükséges anyagmennyiséget meg kell határozni, illetve a kivitelezés költségére ajánlatot kell kérni.</w:t>
      </w:r>
      <w:r w:rsidR="007A0F68">
        <w:rPr>
          <w:rFonts w:ascii="Times New Roman" w:hAnsi="Times New Roman"/>
          <w:szCs w:val="24"/>
        </w:rPr>
        <w:t xml:space="preserve"> </w:t>
      </w:r>
    </w:p>
    <w:p w:rsidR="00947794" w:rsidRDefault="007A0F68" w:rsidP="002229A9">
      <w:pPr>
        <w:pStyle w:val="Cm"/>
        <w:spacing w:before="120"/>
        <w:jc w:val="both"/>
        <w:rPr>
          <w:rFonts w:ascii="Times New Roman" w:hAnsi="Times New Roman"/>
          <w:szCs w:val="24"/>
        </w:rPr>
      </w:pPr>
      <w:r w:rsidRPr="00783B35">
        <w:rPr>
          <w:rFonts w:ascii="Times New Roman" w:hAnsi="Times New Roman"/>
          <w:szCs w:val="24"/>
        </w:rPr>
        <w:t xml:space="preserve">Az Önkormányzat tulajdonában, kezelésében lévő </w:t>
      </w:r>
      <w:r w:rsidR="00783B35" w:rsidRPr="00783B35">
        <w:rPr>
          <w:rFonts w:ascii="Times New Roman" w:hAnsi="Times New Roman"/>
          <w:szCs w:val="24"/>
        </w:rPr>
        <w:t>9 híd közül a megtartott hídvizsgálat alapján 1 igényel jelentős mértékű műszaki beavatkozást, a többin kisebb javításokat kell végezni. Az ehhez szükséges forrás nagyságának megállapítása érdekében a kivitelezésre vonatkozó költ</w:t>
      </w:r>
      <w:r w:rsidR="00947794">
        <w:rPr>
          <w:rFonts w:ascii="Times New Roman" w:hAnsi="Times New Roman"/>
          <w:szCs w:val="24"/>
        </w:rPr>
        <w:t>ségbecslét el kell készíttetni.</w:t>
      </w:r>
    </w:p>
    <w:p w:rsidR="00947794" w:rsidRDefault="00947794" w:rsidP="00947794">
      <w:pPr>
        <w:jc w:val="both"/>
      </w:pPr>
    </w:p>
    <w:p w:rsidR="00E12316" w:rsidRPr="00783B35" w:rsidRDefault="00E12316" w:rsidP="00123176">
      <w:pPr>
        <w:pStyle w:val="Cm"/>
        <w:spacing w:before="240"/>
        <w:jc w:val="both"/>
        <w:rPr>
          <w:rFonts w:ascii="Times New Roman" w:hAnsi="Times New Roman"/>
          <w:b/>
          <w:bCs/>
          <w:szCs w:val="24"/>
        </w:rPr>
      </w:pPr>
      <w:r w:rsidRPr="00783B35">
        <w:rPr>
          <w:rFonts w:ascii="Times New Roman" w:hAnsi="Times New Roman"/>
          <w:b/>
          <w:bCs/>
          <w:szCs w:val="24"/>
        </w:rPr>
        <w:t>V.</w:t>
      </w:r>
      <w:r w:rsidRPr="00783B35">
        <w:rPr>
          <w:rFonts w:ascii="Times New Roman" w:hAnsi="Times New Roman"/>
          <w:b/>
          <w:bCs/>
          <w:szCs w:val="24"/>
        </w:rPr>
        <w:tab/>
        <w:t>Finanszírozási bevételek és kiadások</w:t>
      </w:r>
    </w:p>
    <w:p w:rsidR="00E12316" w:rsidRPr="00711ED3" w:rsidRDefault="00E12316" w:rsidP="00E12316">
      <w:pPr>
        <w:autoSpaceDE w:val="0"/>
        <w:autoSpaceDN w:val="0"/>
        <w:adjustRightInd w:val="0"/>
        <w:spacing w:before="120"/>
        <w:jc w:val="both"/>
      </w:pPr>
      <w:r w:rsidRPr="00711ED3">
        <w:t>Hitel-, kölcsönfelvétel nem tervezhető. Kizárólag az előző évi maradvány igé</w:t>
      </w:r>
      <w:r w:rsidR="00D04E3E" w:rsidRPr="00711ED3">
        <w:t>nybevétele, illetve a</w:t>
      </w:r>
      <w:r w:rsidR="00D04E3E" w:rsidRPr="00711ED3">
        <w:rPr>
          <w:bCs/>
        </w:rPr>
        <w:t xml:space="preserve"> költségvetési szerv bevételi előirányzatainak és kiadási előirányzatainak különbségeként irányító szervi támogatásként folyósított támogatás</w:t>
      </w:r>
      <w:r w:rsidR="00D04E3E" w:rsidRPr="00711ED3">
        <w:t xml:space="preserve">, valamint </w:t>
      </w:r>
      <w:r w:rsidR="00D04E3E" w:rsidRPr="00711ED3">
        <w:rPr>
          <w:bCs/>
        </w:rPr>
        <w:t>szabad pénzeszközök betétként való elhelyezése és visszavonásának</w:t>
      </w:r>
      <w:r w:rsidR="00D04E3E" w:rsidRPr="00711ED3">
        <w:t xml:space="preserve"> tervezése engedélyezett</w:t>
      </w:r>
      <w:r w:rsidR="00E21795" w:rsidRPr="00711ED3">
        <w:t>.</w:t>
      </w:r>
    </w:p>
    <w:p w:rsidR="00E12316" w:rsidRPr="00711ED3" w:rsidRDefault="00CD6433" w:rsidP="00E12316">
      <w:pPr>
        <w:autoSpaceDE w:val="0"/>
        <w:autoSpaceDN w:val="0"/>
        <w:adjustRightInd w:val="0"/>
        <w:spacing w:before="120"/>
        <w:jc w:val="both"/>
      </w:pPr>
      <w:r w:rsidRPr="00711ED3">
        <w:t xml:space="preserve">A </w:t>
      </w:r>
      <w:proofErr w:type="spellStart"/>
      <w:r w:rsidRPr="00711ED3">
        <w:t>Mötv</w:t>
      </w:r>
      <w:proofErr w:type="spellEnd"/>
      <w:r w:rsidRPr="00711ED3">
        <w:t>. 111. § (4) bekezdése értelmében a költségvetési rendeletben működési hiány nem tervezhető. Ezért a költségvetési előirányzatok tervezésekor a kötelező önkormányzati feladatoknak prioritást kell biztosítani, önként vállalt feladat csak akkor tervezhető, ha annak pénzügyi fedezete a saját bevételekből megteremthető.</w:t>
      </w:r>
    </w:p>
    <w:p w:rsidR="007A0F68" w:rsidRPr="006A35CF" w:rsidRDefault="00C762F7" w:rsidP="004301F4">
      <w:pPr>
        <w:autoSpaceDE w:val="0"/>
        <w:autoSpaceDN w:val="0"/>
        <w:adjustRightInd w:val="0"/>
        <w:spacing w:before="120"/>
        <w:jc w:val="both"/>
      </w:pPr>
      <w:r w:rsidRPr="006A35CF">
        <w:t xml:space="preserve">A </w:t>
      </w:r>
      <w:r w:rsidR="0079100A" w:rsidRPr="006A35CF">
        <w:t>202</w:t>
      </w:r>
      <w:r w:rsidR="000F727F" w:rsidRPr="006A35CF">
        <w:t>5</w:t>
      </w:r>
      <w:r w:rsidR="00B77EB5" w:rsidRPr="006A35CF">
        <w:t>. évi költségvetési rendelet megalkotás</w:t>
      </w:r>
      <w:r w:rsidR="00113519" w:rsidRPr="006A35CF">
        <w:t>a 202</w:t>
      </w:r>
      <w:r w:rsidR="000F727F" w:rsidRPr="006A35CF">
        <w:t>5</w:t>
      </w:r>
      <w:r w:rsidR="00B9227F" w:rsidRPr="006A35CF">
        <w:t>. január</w:t>
      </w:r>
      <w:r w:rsidR="00113519" w:rsidRPr="006A35CF">
        <w:t xml:space="preserve"> hónapban </w:t>
      </w:r>
      <w:r w:rsidR="007A0F68" w:rsidRPr="006A35CF">
        <w:t>megkezdődött</w:t>
      </w:r>
      <w:r w:rsidR="00113519" w:rsidRPr="006A35CF">
        <w:t>, az intézményvezetők által benyújtott tervezetek felülvizsgál</w:t>
      </w:r>
      <w:r w:rsidR="007A0F68" w:rsidRPr="006A35CF">
        <w:t>atra, majd összesítésre kerültek</w:t>
      </w:r>
      <w:r w:rsidR="00783B35" w:rsidRPr="006A35CF">
        <w:t>.</w:t>
      </w:r>
      <w:r w:rsidR="00113519" w:rsidRPr="006A35CF">
        <w:t xml:space="preserve"> </w:t>
      </w:r>
      <w:r w:rsidR="00783B35" w:rsidRPr="006A35CF">
        <w:t>A</w:t>
      </w:r>
      <w:r w:rsidR="00113519" w:rsidRPr="006A35CF">
        <w:t xml:space="preserve"> rendelet-tervezetet a testület </w:t>
      </w:r>
      <w:r w:rsidR="000F727F" w:rsidRPr="006A35CF">
        <w:t xml:space="preserve">két fordulóban tárgyalja, majd </w:t>
      </w:r>
      <w:r w:rsidR="00113519" w:rsidRPr="006A35CF">
        <w:t xml:space="preserve">a február hónapban tartott ülésén hagyja terveink szerint jóvá. </w:t>
      </w:r>
    </w:p>
    <w:p w:rsidR="00783B35" w:rsidRPr="006A35CF" w:rsidRDefault="007A0F68" w:rsidP="004301F4">
      <w:pPr>
        <w:autoSpaceDE w:val="0"/>
        <w:autoSpaceDN w:val="0"/>
        <w:adjustRightInd w:val="0"/>
        <w:spacing w:before="120"/>
        <w:jc w:val="both"/>
      </w:pPr>
      <w:r w:rsidRPr="006A35CF">
        <w:t>A</w:t>
      </w:r>
      <w:r w:rsidR="00B77EB5" w:rsidRPr="006A35CF">
        <w:t xml:space="preserve">z intézmények, </w:t>
      </w:r>
      <w:r w:rsidRPr="006A35CF">
        <w:t xml:space="preserve">esetében a korábbi években hatósági és szakmai szervezetek által megtartott ellenőrzések alkalmával </w:t>
      </w:r>
      <w:r w:rsidR="0065525D" w:rsidRPr="006A35CF">
        <w:t>feltárt, a működéshez szükséges</w:t>
      </w:r>
      <w:r w:rsidRPr="006A35CF">
        <w:t xml:space="preserve"> </w:t>
      </w:r>
      <w:r w:rsidR="0065525D" w:rsidRPr="006A35CF">
        <w:t xml:space="preserve">felújítást, karbantartást igénylő </w:t>
      </w:r>
      <w:r w:rsidRPr="006A35CF">
        <w:t>hiányosságok</w:t>
      </w:r>
      <w:r w:rsidR="00783B35" w:rsidRPr="006A35CF">
        <w:t>, valamint az elavulás miatti cserék költségét tervezni kell.</w:t>
      </w:r>
      <w:r w:rsidR="0065525D" w:rsidRPr="006A35CF">
        <w:t xml:space="preserve"> </w:t>
      </w:r>
    </w:p>
    <w:p w:rsidR="00B77EB5" w:rsidRPr="006A35CF" w:rsidRDefault="00783B35" w:rsidP="004301F4">
      <w:pPr>
        <w:autoSpaceDE w:val="0"/>
        <w:autoSpaceDN w:val="0"/>
        <w:adjustRightInd w:val="0"/>
        <w:spacing w:before="120"/>
        <w:jc w:val="both"/>
      </w:pPr>
      <w:r w:rsidRPr="006A35CF">
        <w:t>Ettől függetlenül is szükséges az ö</w:t>
      </w:r>
      <w:r w:rsidR="00B77EB5" w:rsidRPr="006A35CF">
        <w:t xml:space="preserve">nkormányzati vagyonelemek esetében </w:t>
      </w:r>
      <w:r w:rsidRPr="006A35CF">
        <w:t xml:space="preserve">annak felmérése, hogy </w:t>
      </w:r>
      <w:r w:rsidR="00B77EB5" w:rsidRPr="006A35CF">
        <w:t>mely intézményeknél, ingatlanoknál milyen azonnali beavatkozást igénylő feladatok (akár felújítási, karbantartási, egyéb) adódnak, hogy megalapozott döntések meghozatalára kerüljön sor.</w:t>
      </w:r>
    </w:p>
    <w:p w:rsidR="00C762F7" w:rsidRPr="006A35CF" w:rsidRDefault="00C762F7" w:rsidP="004301F4">
      <w:pPr>
        <w:autoSpaceDE w:val="0"/>
        <w:autoSpaceDN w:val="0"/>
        <w:adjustRightInd w:val="0"/>
        <w:spacing w:before="120"/>
        <w:jc w:val="both"/>
      </w:pPr>
      <w:r w:rsidRPr="006A35CF">
        <w:t>A fentiek al</w:t>
      </w:r>
      <w:r w:rsidR="00125513" w:rsidRPr="006A35CF">
        <w:t>apján megállapítható, hogy a 202</w:t>
      </w:r>
      <w:r w:rsidR="000F727F" w:rsidRPr="006A35CF">
        <w:t>5</w:t>
      </w:r>
      <w:r w:rsidRPr="006A35CF">
        <w:t xml:space="preserve">. évi költségvetéshez valamennyi területen jól átgondolt, takarékos, a </w:t>
      </w:r>
      <w:proofErr w:type="gramStart"/>
      <w:r w:rsidRPr="006A35CF">
        <w:t>reális</w:t>
      </w:r>
      <w:proofErr w:type="gramEnd"/>
      <w:r w:rsidRPr="006A35CF">
        <w:t xml:space="preserve"> szükségletek felmérésével történő tervezés szükséges. Önkormányzatunk ga</w:t>
      </w:r>
      <w:r w:rsidR="00125513" w:rsidRPr="006A35CF">
        <w:t>zdálkodásának fő szempontjai 202</w:t>
      </w:r>
      <w:r w:rsidR="000F727F" w:rsidRPr="006A35CF">
        <w:t>5</w:t>
      </w:r>
      <w:r w:rsidRPr="006A35CF">
        <w:t xml:space="preserve">. évben továbbra is az intézmények </w:t>
      </w:r>
      <w:r w:rsidR="006A35CF" w:rsidRPr="006A35CF">
        <w:t>biztonságos működtetése, a település</w:t>
      </w:r>
      <w:r w:rsidRPr="006A35CF">
        <w:t>üzemeltetés megfelelő</w:t>
      </w:r>
      <w:r w:rsidR="006A35CF" w:rsidRPr="006A35CF">
        <w:t xml:space="preserve"> színvonalú biztosítása, a község</w:t>
      </w:r>
      <w:r w:rsidRPr="006A35CF">
        <w:t xml:space="preserve"> további fejlődését szolgáló beruházások, fejlesztések előkészítése, elindítása és megvalósítása.</w:t>
      </w:r>
    </w:p>
    <w:p w:rsidR="009117B2" w:rsidRPr="006A35CF" w:rsidRDefault="009117B2" w:rsidP="004301F4">
      <w:pPr>
        <w:autoSpaceDE w:val="0"/>
        <w:autoSpaceDN w:val="0"/>
        <w:adjustRightInd w:val="0"/>
        <w:spacing w:before="120"/>
        <w:jc w:val="both"/>
      </w:pPr>
      <w:proofErr w:type="gramStart"/>
      <w:r w:rsidRPr="006A35CF">
        <w:t>Kérem</w:t>
      </w:r>
      <w:proofErr w:type="gramEnd"/>
      <w:r w:rsidRPr="006A35CF">
        <w:t xml:space="preserve"> a </w:t>
      </w:r>
      <w:r w:rsidR="00EF520F" w:rsidRPr="006A35CF">
        <w:t xml:space="preserve">tisztelt </w:t>
      </w:r>
      <w:r w:rsidRPr="006A35CF">
        <w:t xml:space="preserve">Képviselő-testületet </w:t>
      </w:r>
      <w:r w:rsidR="00125513" w:rsidRPr="006A35CF">
        <w:t xml:space="preserve">a fent leírtak alapján a </w:t>
      </w:r>
      <w:r w:rsidR="006A35CF" w:rsidRPr="006A35CF">
        <w:t xml:space="preserve">tervezetben </w:t>
      </w:r>
      <w:r w:rsidR="00EF520F" w:rsidRPr="006A35CF">
        <w:t>foglaltakat</w:t>
      </w:r>
      <w:r w:rsidR="00125513" w:rsidRPr="006A35CF">
        <w:t xml:space="preserve"> megvitatva járuljon hozzá a 202</w:t>
      </w:r>
      <w:r w:rsidR="000F727F" w:rsidRPr="006A35CF">
        <w:t>5</w:t>
      </w:r>
      <w:r w:rsidR="00EF520F" w:rsidRPr="006A35CF">
        <w:t>. évi költségvetési tervezési munkák folytatásához</w:t>
      </w:r>
      <w:r w:rsidRPr="006A35CF">
        <w:t>.</w:t>
      </w:r>
    </w:p>
    <w:p w:rsidR="00BD1C3F" w:rsidRDefault="00BD1C3F" w:rsidP="00BD1C3F"/>
    <w:p w:rsidR="00BD1C3F" w:rsidRPr="00D30015" w:rsidRDefault="00BD1C3F" w:rsidP="00BD1C3F">
      <w:pPr>
        <w:rPr>
          <w:b/>
          <w:u w:val="single"/>
        </w:rPr>
      </w:pPr>
      <w:r w:rsidRPr="00D30015">
        <w:rPr>
          <w:b/>
          <w:u w:val="single"/>
        </w:rPr>
        <w:t xml:space="preserve">Határozati javaslat: </w:t>
      </w:r>
    </w:p>
    <w:p w:rsidR="00BD1C3F" w:rsidRDefault="00BD1C3F" w:rsidP="00BD1C3F">
      <w:pPr>
        <w:pStyle w:val="Nincstrkz"/>
        <w:spacing w:before="0" w:beforeAutospacing="0" w:after="0" w:afterAutospacing="0"/>
        <w:jc w:val="both"/>
      </w:pPr>
      <w:r>
        <w:rPr>
          <w:szCs w:val="22"/>
        </w:rPr>
        <w:t> </w:t>
      </w:r>
    </w:p>
    <w:p w:rsidR="00BD1C3F" w:rsidRDefault="00BD1C3F" w:rsidP="00BD1C3F">
      <w:pPr>
        <w:pStyle w:val="Nincstrkz"/>
        <w:spacing w:before="0" w:beforeAutospacing="0" w:after="0" w:afterAutospacing="0"/>
        <w:jc w:val="both"/>
      </w:pPr>
      <w:r>
        <w:rPr>
          <w:szCs w:val="22"/>
        </w:rPr>
        <w:t>Berzence Nagyközség Önkormányzat Képviselő-testület elfogadja a 2025. évi költségvetés tervszámait az előterjesztés melléklete szerint és megbízza a polgármestert és a jegyzőt az önkormányzat 2025. évi költségvetési rendeletének elkészítésével.</w:t>
      </w:r>
    </w:p>
    <w:p w:rsidR="00BD1C3F" w:rsidRDefault="00BD1C3F" w:rsidP="00BD1C3F">
      <w:pPr>
        <w:pStyle w:val="Nincstrkz"/>
        <w:spacing w:before="0" w:beforeAutospacing="0" w:after="0" w:afterAutospacing="0"/>
        <w:jc w:val="both"/>
      </w:pPr>
      <w:r w:rsidRPr="00BD1C3F">
        <w:rPr>
          <w:szCs w:val="22"/>
          <w:u w:val="single"/>
        </w:rPr>
        <w:t>Felelős</w:t>
      </w:r>
      <w:r>
        <w:rPr>
          <w:szCs w:val="22"/>
        </w:rPr>
        <w:t xml:space="preserve">: </w:t>
      </w:r>
      <w:r>
        <w:t>Keszericze István</w:t>
      </w:r>
      <w:r>
        <w:rPr>
          <w:szCs w:val="22"/>
        </w:rPr>
        <w:t xml:space="preserve"> polgármester, Boti Ferenc jegyző</w:t>
      </w:r>
    </w:p>
    <w:p w:rsidR="00EE5D39" w:rsidRDefault="00BD1C3F" w:rsidP="00BD1C3F">
      <w:pPr>
        <w:pStyle w:val="NormlWeb"/>
        <w:shd w:val="clear" w:color="auto" w:fill="FFFFFF"/>
        <w:spacing w:before="0" w:beforeAutospacing="0" w:after="0" w:afterAutospacing="0"/>
        <w:jc w:val="both"/>
      </w:pPr>
      <w:r w:rsidRPr="00BD1C3F">
        <w:rPr>
          <w:szCs w:val="22"/>
          <w:u w:val="single"/>
        </w:rPr>
        <w:t>Határidő</w:t>
      </w:r>
      <w:r>
        <w:rPr>
          <w:szCs w:val="22"/>
        </w:rPr>
        <w:t>: 2025. február 25.</w:t>
      </w:r>
    </w:p>
    <w:p w:rsidR="00BD1C3F" w:rsidRDefault="00BD1C3F" w:rsidP="006A35CF">
      <w:pPr>
        <w:pStyle w:val="NormlWeb"/>
        <w:shd w:val="clear" w:color="auto" w:fill="FFFFFF"/>
        <w:spacing w:before="0" w:beforeAutospacing="0" w:after="45" w:afterAutospacing="0"/>
        <w:jc w:val="both"/>
        <w:rPr>
          <w:u w:val="single"/>
        </w:rPr>
      </w:pPr>
    </w:p>
    <w:p w:rsidR="00BD1C3F" w:rsidRDefault="00BD1C3F" w:rsidP="006A35CF">
      <w:pPr>
        <w:pStyle w:val="NormlWeb"/>
        <w:shd w:val="clear" w:color="auto" w:fill="FFFFFF"/>
        <w:spacing w:before="0" w:beforeAutospacing="0" w:after="45" w:afterAutospacing="0"/>
        <w:jc w:val="both"/>
        <w:rPr>
          <w:u w:val="single"/>
        </w:rPr>
      </w:pPr>
    </w:p>
    <w:p w:rsidR="004927FC" w:rsidRDefault="006A35CF" w:rsidP="006A35CF">
      <w:pPr>
        <w:pStyle w:val="NormlWeb"/>
        <w:shd w:val="clear" w:color="auto" w:fill="FFFFFF"/>
        <w:spacing w:before="0" w:beforeAutospacing="0" w:after="45" w:afterAutospacing="0"/>
        <w:jc w:val="both"/>
      </w:pPr>
      <w:r w:rsidRPr="006A35CF">
        <w:rPr>
          <w:u w:val="single"/>
        </w:rPr>
        <w:t>Mellékletek</w:t>
      </w:r>
      <w:r>
        <w:t xml:space="preserve">: </w:t>
      </w:r>
    </w:p>
    <w:p w:rsidR="004927FC" w:rsidRDefault="006A35CF" w:rsidP="004927FC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45" w:afterAutospacing="0"/>
        <w:jc w:val="both"/>
      </w:pPr>
      <w:r>
        <w:t>A jelenlegi ismeretek alapján elkészült bevételi és kiadási tervek.</w:t>
      </w:r>
    </w:p>
    <w:p w:rsidR="006A35CF" w:rsidRDefault="004927FC" w:rsidP="004927FC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45" w:afterAutospacing="0"/>
        <w:jc w:val="both"/>
      </w:pPr>
      <w:r>
        <w:t>Civil szervezetek által benyújtott támogatási kérelmek.</w:t>
      </w:r>
      <w:r w:rsidR="006A35CF">
        <w:t xml:space="preserve">  </w:t>
      </w:r>
    </w:p>
    <w:p w:rsidR="006A35CF" w:rsidRPr="006A35CF" w:rsidRDefault="006A35CF" w:rsidP="006A35CF">
      <w:pPr>
        <w:pStyle w:val="NormlWeb"/>
        <w:shd w:val="clear" w:color="auto" w:fill="FFFFFF"/>
        <w:spacing w:before="0" w:beforeAutospacing="0" w:after="45" w:afterAutospacing="0"/>
        <w:jc w:val="both"/>
      </w:pPr>
    </w:p>
    <w:p w:rsidR="00F07F46" w:rsidRDefault="00B9227F" w:rsidP="00F07F46">
      <w:r>
        <w:t>Berzence</w:t>
      </w:r>
      <w:r w:rsidR="00F07F46" w:rsidRPr="00711ED3">
        <w:t xml:space="preserve">, </w:t>
      </w:r>
      <w:r w:rsidR="006A35CF">
        <w:t>2025. január 10.</w:t>
      </w:r>
    </w:p>
    <w:p w:rsidR="006A35CF" w:rsidRDefault="006A35CF" w:rsidP="00F07F46"/>
    <w:p w:rsidR="006A35CF" w:rsidRPr="00711ED3" w:rsidRDefault="006A35CF" w:rsidP="00F07F46"/>
    <w:p w:rsidR="00F07F46" w:rsidRPr="00711ED3" w:rsidRDefault="00F07F46" w:rsidP="00937575">
      <w:pPr>
        <w:tabs>
          <w:tab w:val="center" w:pos="6720"/>
        </w:tabs>
      </w:pPr>
      <w:r w:rsidRPr="00711ED3">
        <w:tab/>
      </w:r>
      <w:r w:rsidR="00B9227F">
        <w:t>Keszericze István</w:t>
      </w:r>
    </w:p>
    <w:p w:rsidR="000318D9" w:rsidRPr="00711ED3" w:rsidRDefault="00F15410" w:rsidP="00F15410">
      <w:pPr>
        <w:tabs>
          <w:tab w:val="center" w:pos="6720"/>
        </w:tabs>
      </w:pPr>
      <w:r w:rsidRPr="00711ED3">
        <w:tab/>
      </w:r>
      <w:proofErr w:type="gramStart"/>
      <w:r w:rsidRPr="00711ED3">
        <w:t>polgármester</w:t>
      </w:r>
      <w:proofErr w:type="gramEnd"/>
    </w:p>
    <w:p w:rsidR="00C306A2" w:rsidRPr="00711ED3" w:rsidRDefault="00C306A2" w:rsidP="00D673E5">
      <w:pPr>
        <w:rPr>
          <w:b/>
        </w:rPr>
      </w:pPr>
    </w:p>
    <w:sectPr w:rsidR="00C306A2" w:rsidRPr="00711ED3" w:rsidSect="007C5FD0">
      <w:footerReference w:type="default" r:id="rId9"/>
      <w:headerReference w:type="first" r:id="rId10"/>
      <w:type w:val="continuous"/>
      <w:pgSz w:w="11906" w:h="16838" w:code="9"/>
      <w:pgMar w:top="1134" w:right="1134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09" w:rsidRDefault="003A1B09">
      <w:r>
        <w:separator/>
      </w:r>
    </w:p>
  </w:endnote>
  <w:endnote w:type="continuationSeparator" w:id="0">
    <w:p w:rsidR="003A1B09" w:rsidRDefault="003A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212915"/>
      <w:docPartObj>
        <w:docPartGallery w:val="Page Numbers (Bottom of Page)"/>
        <w:docPartUnique/>
      </w:docPartObj>
    </w:sdtPr>
    <w:sdtEndPr/>
    <w:sdtContent>
      <w:p w:rsidR="008F6D17" w:rsidRDefault="008F6D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C7">
          <w:rPr>
            <w:noProof/>
          </w:rPr>
          <w:t>9</w:t>
        </w:r>
        <w:r>
          <w:fldChar w:fldCharType="end"/>
        </w:r>
      </w:p>
    </w:sdtContent>
  </w:sdt>
  <w:p w:rsidR="00BC03A7" w:rsidRDefault="00BC03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09" w:rsidRDefault="003A1B09">
      <w:r>
        <w:separator/>
      </w:r>
    </w:p>
  </w:footnote>
  <w:footnote w:type="continuationSeparator" w:id="0">
    <w:p w:rsidR="003A1B09" w:rsidRDefault="003A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95" w:rsidRPr="007F18BF" w:rsidRDefault="00E21795" w:rsidP="007F18BF">
    <w:pPr>
      <w:pStyle w:val="lfej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94847"/>
    <w:multiLevelType w:val="hybridMultilevel"/>
    <w:tmpl w:val="0A9A2EC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12BF0"/>
    <w:multiLevelType w:val="hybridMultilevel"/>
    <w:tmpl w:val="589A8B80"/>
    <w:lvl w:ilvl="0" w:tplc="B45A7A18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3" w15:restartNumberingAfterBreak="0">
    <w:nsid w:val="1B2633F3"/>
    <w:multiLevelType w:val="hybridMultilevel"/>
    <w:tmpl w:val="7BECA7C4"/>
    <w:lvl w:ilvl="0" w:tplc="F538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A4679"/>
    <w:multiLevelType w:val="multilevel"/>
    <w:tmpl w:val="E6E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C367B"/>
    <w:multiLevelType w:val="hybridMultilevel"/>
    <w:tmpl w:val="8E9A386C"/>
    <w:lvl w:ilvl="0" w:tplc="34620A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00BFD"/>
    <w:multiLevelType w:val="hybridMultilevel"/>
    <w:tmpl w:val="A8240EA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30A3C"/>
    <w:multiLevelType w:val="multilevel"/>
    <w:tmpl w:val="B4605BEC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ADB5749"/>
    <w:multiLevelType w:val="hybridMultilevel"/>
    <w:tmpl w:val="7FF0BB3E"/>
    <w:lvl w:ilvl="0" w:tplc="A63E4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A486E"/>
    <w:multiLevelType w:val="hybridMultilevel"/>
    <w:tmpl w:val="2C2E3A5E"/>
    <w:lvl w:ilvl="0" w:tplc="CDA82D4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92D41"/>
    <w:multiLevelType w:val="hybridMultilevel"/>
    <w:tmpl w:val="D7509CA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380A8A"/>
    <w:multiLevelType w:val="hybridMultilevel"/>
    <w:tmpl w:val="AD8C7146"/>
    <w:lvl w:ilvl="0" w:tplc="E59AD98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B7C1E8F"/>
    <w:multiLevelType w:val="hybridMultilevel"/>
    <w:tmpl w:val="A8240EA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83781"/>
    <w:multiLevelType w:val="hybridMultilevel"/>
    <w:tmpl w:val="CDBAD58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270830"/>
    <w:multiLevelType w:val="hybridMultilevel"/>
    <w:tmpl w:val="B010F5BE"/>
    <w:lvl w:ilvl="0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445D0"/>
    <w:multiLevelType w:val="hybridMultilevel"/>
    <w:tmpl w:val="2430CCF4"/>
    <w:lvl w:ilvl="0" w:tplc="F538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D01D4"/>
    <w:multiLevelType w:val="multilevel"/>
    <w:tmpl w:val="7D06D19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388E"/>
    <w:multiLevelType w:val="hybridMultilevel"/>
    <w:tmpl w:val="1DCC86B2"/>
    <w:lvl w:ilvl="0" w:tplc="756E5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2BEA"/>
    <w:multiLevelType w:val="hybridMultilevel"/>
    <w:tmpl w:val="DA9AF01E"/>
    <w:lvl w:ilvl="0" w:tplc="F538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5A6E5E"/>
    <w:multiLevelType w:val="hybridMultilevel"/>
    <w:tmpl w:val="2DBE544A"/>
    <w:lvl w:ilvl="0" w:tplc="F53816C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3D66C5DA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5F407256"/>
    <w:multiLevelType w:val="hybridMultilevel"/>
    <w:tmpl w:val="2C309D1A"/>
    <w:lvl w:ilvl="0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77F4D"/>
    <w:multiLevelType w:val="multilevel"/>
    <w:tmpl w:val="37981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90451F"/>
    <w:multiLevelType w:val="multilevel"/>
    <w:tmpl w:val="AA24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A434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40F2DDD"/>
    <w:multiLevelType w:val="hybridMultilevel"/>
    <w:tmpl w:val="5D84F83C"/>
    <w:lvl w:ilvl="0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62F0"/>
    <w:multiLevelType w:val="hybridMultilevel"/>
    <w:tmpl w:val="65866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17C44"/>
    <w:multiLevelType w:val="multilevel"/>
    <w:tmpl w:val="E6E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E44DE"/>
    <w:multiLevelType w:val="hybridMultilevel"/>
    <w:tmpl w:val="7D06D19A"/>
    <w:lvl w:ilvl="0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9686F"/>
    <w:multiLevelType w:val="hybridMultilevel"/>
    <w:tmpl w:val="261431EA"/>
    <w:lvl w:ilvl="0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6D8C"/>
    <w:multiLevelType w:val="hybridMultilevel"/>
    <w:tmpl w:val="AA24CAAA"/>
    <w:lvl w:ilvl="0" w:tplc="F538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66C5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E1108"/>
    <w:multiLevelType w:val="hybridMultilevel"/>
    <w:tmpl w:val="3798195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7"/>
  </w:num>
  <w:num w:numId="5">
    <w:abstractNumId w:val="30"/>
  </w:num>
  <w:num w:numId="6">
    <w:abstractNumId w:val="21"/>
  </w:num>
  <w:num w:numId="7">
    <w:abstractNumId w:val="1"/>
  </w:num>
  <w:num w:numId="8">
    <w:abstractNumId w:val="18"/>
  </w:num>
  <w:num w:numId="9">
    <w:abstractNumId w:val="27"/>
  </w:num>
  <w:num w:numId="10">
    <w:abstractNumId w:val="16"/>
  </w:num>
  <w:num w:numId="11">
    <w:abstractNumId w:val="14"/>
  </w:num>
  <w:num w:numId="12">
    <w:abstractNumId w:val="29"/>
  </w:num>
  <w:num w:numId="13">
    <w:abstractNumId w:val="26"/>
  </w:num>
  <w:num w:numId="14">
    <w:abstractNumId w:val="4"/>
  </w:num>
  <w:num w:numId="15">
    <w:abstractNumId w:val="15"/>
  </w:num>
  <w:num w:numId="16">
    <w:abstractNumId w:val="20"/>
  </w:num>
  <w:num w:numId="17">
    <w:abstractNumId w:val="13"/>
  </w:num>
  <w:num w:numId="18">
    <w:abstractNumId w:val="22"/>
  </w:num>
  <w:num w:numId="19">
    <w:abstractNumId w:val="28"/>
  </w:num>
  <w:num w:numId="20">
    <w:abstractNumId w:val="24"/>
  </w:num>
  <w:num w:numId="21">
    <w:abstractNumId w:val="3"/>
  </w:num>
  <w:num w:numId="22">
    <w:abstractNumId w:val="5"/>
  </w:num>
  <w:num w:numId="23">
    <w:abstractNumId w:val="19"/>
  </w:num>
  <w:num w:numId="24">
    <w:abstractNumId w:val="7"/>
  </w:num>
  <w:num w:numId="25">
    <w:abstractNumId w:val="23"/>
  </w:num>
  <w:num w:numId="26">
    <w:abstractNumId w:val="6"/>
  </w:num>
  <w:num w:numId="27">
    <w:abstractNumId w:val="12"/>
  </w:num>
  <w:num w:numId="28">
    <w:abstractNumId w:val="9"/>
  </w:num>
  <w:num w:numId="29">
    <w:abstractNumId w:val="8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F6"/>
    <w:rsid w:val="000000FE"/>
    <w:rsid w:val="000036D3"/>
    <w:rsid w:val="00005538"/>
    <w:rsid w:val="00013A77"/>
    <w:rsid w:val="00014956"/>
    <w:rsid w:val="0002140D"/>
    <w:rsid w:val="00022457"/>
    <w:rsid w:val="00022AD1"/>
    <w:rsid w:val="00030DA4"/>
    <w:rsid w:val="00031092"/>
    <w:rsid w:val="000318D9"/>
    <w:rsid w:val="0003288B"/>
    <w:rsid w:val="00033375"/>
    <w:rsid w:val="0003482B"/>
    <w:rsid w:val="00034AFB"/>
    <w:rsid w:val="00041241"/>
    <w:rsid w:val="00042C84"/>
    <w:rsid w:val="0004447D"/>
    <w:rsid w:val="000444C4"/>
    <w:rsid w:val="00044873"/>
    <w:rsid w:val="00051C0B"/>
    <w:rsid w:val="00052AF3"/>
    <w:rsid w:val="0005391E"/>
    <w:rsid w:val="000547AF"/>
    <w:rsid w:val="00054D0D"/>
    <w:rsid w:val="00054E13"/>
    <w:rsid w:val="00054FDC"/>
    <w:rsid w:val="00055753"/>
    <w:rsid w:val="00055FE8"/>
    <w:rsid w:val="000632C8"/>
    <w:rsid w:val="00067453"/>
    <w:rsid w:val="00071553"/>
    <w:rsid w:val="0007343E"/>
    <w:rsid w:val="00076DF8"/>
    <w:rsid w:val="00076EE7"/>
    <w:rsid w:val="00081110"/>
    <w:rsid w:val="000848D9"/>
    <w:rsid w:val="00084EC1"/>
    <w:rsid w:val="000852C4"/>
    <w:rsid w:val="00090038"/>
    <w:rsid w:val="000901B0"/>
    <w:rsid w:val="00090F47"/>
    <w:rsid w:val="00091E81"/>
    <w:rsid w:val="00091EE4"/>
    <w:rsid w:val="00093F12"/>
    <w:rsid w:val="000969A3"/>
    <w:rsid w:val="00096E27"/>
    <w:rsid w:val="000A0D11"/>
    <w:rsid w:val="000A2F82"/>
    <w:rsid w:val="000A49CA"/>
    <w:rsid w:val="000A5FBD"/>
    <w:rsid w:val="000B4F97"/>
    <w:rsid w:val="000B5070"/>
    <w:rsid w:val="000B60C3"/>
    <w:rsid w:val="000B6B09"/>
    <w:rsid w:val="000B75EE"/>
    <w:rsid w:val="000C448A"/>
    <w:rsid w:val="000C4C62"/>
    <w:rsid w:val="000C5638"/>
    <w:rsid w:val="000C6410"/>
    <w:rsid w:val="000C7349"/>
    <w:rsid w:val="000C76FD"/>
    <w:rsid w:val="000C77E9"/>
    <w:rsid w:val="000D3147"/>
    <w:rsid w:val="000D391A"/>
    <w:rsid w:val="000D542D"/>
    <w:rsid w:val="000D64CA"/>
    <w:rsid w:val="000D6962"/>
    <w:rsid w:val="000D6E55"/>
    <w:rsid w:val="000E1488"/>
    <w:rsid w:val="000E159C"/>
    <w:rsid w:val="000E2798"/>
    <w:rsid w:val="000E2A19"/>
    <w:rsid w:val="000E2E5D"/>
    <w:rsid w:val="000E46DD"/>
    <w:rsid w:val="000E5325"/>
    <w:rsid w:val="000E7629"/>
    <w:rsid w:val="000F01F9"/>
    <w:rsid w:val="000F20CB"/>
    <w:rsid w:val="000F2AD5"/>
    <w:rsid w:val="000F628D"/>
    <w:rsid w:val="000F6806"/>
    <w:rsid w:val="000F727F"/>
    <w:rsid w:val="00100559"/>
    <w:rsid w:val="00100D26"/>
    <w:rsid w:val="0010349C"/>
    <w:rsid w:val="001075CB"/>
    <w:rsid w:val="00110546"/>
    <w:rsid w:val="00113519"/>
    <w:rsid w:val="001141F9"/>
    <w:rsid w:val="0012011E"/>
    <w:rsid w:val="00123176"/>
    <w:rsid w:val="00125513"/>
    <w:rsid w:val="0013638F"/>
    <w:rsid w:val="00136440"/>
    <w:rsid w:val="001365B6"/>
    <w:rsid w:val="001572AE"/>
    <w:rsid w:val="00160471"/>
    <w:rsid w:val="00160D15"/>
    <w:rsid w:val="0016544A"/>
    <w:rsid w:val="00167C9D"/>
    <w:rsid w:val="00167F5F"/>
    <w:rsid w:val="00174353"/>
    <w:rsid w:val="00174EE3"/>
    <w:rsid w:val="00174F93"/>
    <w:rsid w:val="001755DC"/>
    <w:rsid w:val="001762CE"/>
    <w:rsid w:val="001765D8"/>
    <w:rsid w:val="00183FA2"/>
    <w:rsid w:val="00186750"/>
    <w:rsid w:val="00190FFE"/>
    <w:rsid w:val="001913AA"/>
    <w:rsid w:val="00192676"/>
    <w:rsid w:val="00192DC4"/>
    <w:rsid w:val="00192FF5"/>
    <w:rsid w:val="00193DC2"/>
    <w:rsid w:val="001941B5"/>
    <w:rsid w:val="00194FC5"/>
    <w:rsid w:val="00197BCE"/>
    <w:rsid w:val="001A16F3"/>
    <w:rsid w:val="001A17DF"/>
    <w:rsid w:val="001A1FB6"/>
    <w:rsid w:val="001A32E1"/>
    <w:rsid w:val="001A4249"/>
    <w:rsid w:val="001B158C"/>
    <w:rsid w:val="001C1ACF"/>
    <w:rsid w:val="001C3ADE"/>
    <w:rsid w:val="001C7BBD"/>
    <w:rsid w:val="001D53A8"/>
    <w:rsid w:val="001D6805"/>
    <w:rsid w:val="001D7C75"/>
    <w:rsid w:val="001E3105"/>
    <w:rsid w:val="001E4CB9"/>
    <w:rsid w:val="001E63EC"/>
    <w:rsid w:val="001F2FE6"/>
    <w:rsid w:val="001F31D4"/>
    <w:rsid w:val="001F382A"/>
    <w:rsid w:val="001F7C65"/>
    <w:rsid w:val="00201B7B"/>
    <w:rsid w:val="002026B5"/>
    <w:rsid w:val="0021108D"/>
    <w:rsid w:val="002116D5"/>
    <w:rsid w:val="00212714"/>
    <w:rsid w:val="00212CC8"/>
    <w:rsid w:val="00213592"/>
    <w:rsid w:val="00215054"/>
    <w:rsid w:val="00216917"/>
    <w:rsid w:val="00221211"/>
    <w:rsid w:val="002229A9"/>
    <w:rsid w:val="00223004"/>
    <w:rsid w:val="0022355C"/>
    <w:rsid w:val="00226293"/>
    <w:rsid w:val="002303FC"/>
    <w:rsid w:val="0023163B"/>
    <w:rsid w:val="00231DD3"/>
    <w:rsid w:val="00242B87"/>
    <w:rsid w:val="00243214"/>
    <w:rsid w:val="00245344"/>
    <w:rsid w:val="00245529"/>
    <w:rsid w:val="00246253"/>
    <w:rsid w:val="002474AC"/>
    <w:rsid w:val="00247BD4"/>
    <w:rsid w:val="0025099A"/>
    <w:rsid w:val="00252BE8"/>
    <w:rsid w:val="002531D4"/>
    <w:rsid w:val="00253746"/>
    <w:rsid w:val="00255512"/>
    <w:rsid w:val="00257C1B"/>
    <w:rsid w:val="002664A7"/>
    <w:rsid w:val="0027111B"/>
    <w:rsid w:val="0027409F"/>
    <w:rsid w:val="00274EE3"/>
    <w:rsid w:val="00280B5A"/>
    <w:rsid w:val="00285072"/>
    <w:rsid w:val="002854D4"/>
    <w:rsid w:val="00286015"/>
    <w:rsid w:val="00286B6B"/>
    <w:rsid w:val="00287CEC"/>
    <w:rsid w:val="002915A4"/>
    <w:rsid w:val="00292532"/>
    <w:rsid w:val="002944CF"/>
    <w:rsid w:val="002958E4"/>
    <w:rsid w:val="00297E27"/>
    <w:rsid w:val="002A06C8"/>
    <w:rsid w:val="002A3190"/>
    <w:rsid w:val="002B0F55"/>
    <w:rsid w:val="002B1268"/>
    <w:rsid w:val="002B240C"/>
    <w:rsid w:val="002B5526"/>
    <w:rsid w:val="002B6DE3"/>
    <w:rsid w:val="002B78A0"/>
    <w:rsid w:val="002C2F97"/>
    <w:rsid w:val="002C38D8"/>
    <w:rsid w:val="002E181A"/>
    <w:rsid w:val="002E3B7F"/>
    <w:rsid w:val="002E4924"/>
    <w:rsid w:val="002E7461"/>
    <w:rsid w:val="002F0D14"/>
    <w:rsid w:val="002F0D1A"/>
    <w:rsid w:val="002F4466"/>
    <w:rsid w:val="002F4D34"/>
    <w:rsid w:val="0030273E"/>
    <w:rsid w:val="00303D69"/>
    <w:rsid w:val="00304133"/>
    <w:rsid w:val="00304138"/>
    <w:rsid w:val="00304CC5"/>
    <w:rsid w:val="00307E2E"/>
    <w:rsid w:val="00312DCA"/>
    <w:rsid w:val="00314DA7"/>
    <w:rsid w:val="0032304D"/>
    <w:rsid w:val="00323B2C"/>
    <w:rsid w:val="00325230"/>
    <w:rsid w:val="00327711"/>
    <w:rsid w:val="0033032F"/>
    <w:rsid w:val="003318BD"/>
    <w:rsid w:val="00333FC9"/>
    <w:rsid w:val="00336C0A"/>
    <w:rsid w:val="00337E59"/>
    <w:rsid w:val="0034098E"/>
    <w:rsid w:val="003432DB"/>
    <w:rsid w:val="00343A78"/>
    <w:rsid w:val="00345368"/>
    <w:rsid w:val="0035456D"/>
    <w:rsid w:val="003573B5"/>
    <w:rsid w:val="00357C90"/>
    <w:rsid w:val="003604C3"/>
    <w:rsid w:val="00363493"/>
    <w:rsid w:val="003635D2"/>
    <w:rsid w:val="0036505B"/>
    <w:rsid w:val="00366500"/>
    <w:rsid w:val="00366FA4"/>
    <w:rsid w:val="00367D3C"/>
    <w:rsid w:val="00370C38"/>
    <w:rsid w:val="003723C6"/>
    <w:rsid w:val="003779D0"/>
    <w:rsid w:val="00382679"/>
    <w:rsid w:val="00383E2D"/>
    <w:rsid w:val="00383F91"/>
    <w:rsid w:val="00390F78"/>
    <w:rsid w:val="003959C8"/>
    <w:rsid w:val="00396D45"/>
    <w:rsid w:val="003A1B09"/>
    <w:rsid w:val="003A3D05"/>
    <w:rsid w:val="003A477E"/>
    <w:rsid w:val="003A6B5D"/>
    <w:rsid w:val="003B0BA1"/>
    <w:rsid w:val="003B152E"/>
    <w:rsid w:val="003B2D62"/>
    <w:rsid w:val="003B3C15"/>
    <w:rsid w:val="003B5840"/>
    <w:rsid w:val="003B7337"/>
    <w:rsid w:val="003C3273"/>
    <w:rsid w:val="003C6464"/>
    <w:rsid w:val="003D28DC"/>
    <w:rsid w:val="003E1B8B"/>
    <w:rsid w:val="003E1FF2"/>
    <w:rsid w:val="003E229C"/>
    <w:rsid w:val="003E5AD6"/>
    <w:rsid w:val="003E7997"/>
    <w:rsid w:val="003F03C8"/>
    <w:rsid w:val="003F0E38"/>
    <w:rsid w:val="003F3A22"/>
    <w:rsid w:val="003F628D"/>
    <w:rsid w:val="00402D4A"/>
    <w:rsid w:val="004031E9"/>
    <w:rsid w:val="0040365C"/>
    <w:rsid w:val="004043FC"/>
    <w:rsid w:val="004069CA"/>
    <w:rsid w:val="00406A97"/>
    <w:rsid w:val="0041181B"/>
    <w:rsid w:val="00412C60"/>
    <w:rsid w:val="00413EE2"/>
    <w:rsid w:val="004164F9"/>
    <w:rsid w:val="0042064B"/>
    <w:rsid w:val="00421944"/>
    <w:rsid w:val="00421C47"/>
    <w:rsid w:val="0042363E"/>
    <w:rsid w:val="00425DED"/>
    <w:rsid w:val="004301F4"/>
    <w:rsid w:val="004312CE"/>
    <w:rsid w:val="00432F8B"/>
    <w:rsid w:val="00437623"/>
    <w:rsid w:val="0044010C"/>
    <w:rsid w:val="00442B41"/>
    <w:rsid w:val="0044500C"/>
    <w:rsid w:val="00451C84"/>
    <w:rsid w:val="00451F5C"/>
    <w:rsid w:val="00452D98"/>
    <w:rsid w:val="00456BE8"/>
    <w:rsid w:val="0046059B"/>
    <w:rsid w:val="00461574"/>
    <w:rsid w:val="004657B7"/>
    <w:rsid w:val="004721C7"/>
    <w:rsid w:val="0047304B"/>
    <w:rsid w:val="00475591"/>
    <w:rsid w:val="00475E73"/>
    <w:rsid w:val="00477CD1"/>
    <w:rsid w:val="00480C62"/>
    <w:rsid w:val="00483327"/>
    <w:rsid w:val="00485F3F"/>
    <w:rsid w:val="00486D53"/>
    <w:rsid w:val="004905F5"/>
    <w:rsid w:val="004927FC"/>
    <w:rsid w:val="00492FCD"/>
    <w:rsid w:val="00496729"/>
    <w:rsid w:val="004A0199"/>
    <w:rsid w:val="004A1596"/>
    <w:rsid w:val="004A1959"/>
    <w:rsid w:val="004A5ACE"/>
    <w:rsid w:val="004B44DA"/>
    <w:rsid w:val="004B5B19"/>
    <w:rsid w:val="004B651A"/>
    <w:rsid w:val="004B7179"/>
    <w:rsid w:val="004C00F2"/>
    <w:rsid w:val="004C2C81"/>
    <w:rsid w:val="004C2F2E"/>
    <w:rsid w:val="004C4D51"/>
    <w:rsid w:val="004D3131"/>
    <w:rsid w:val="004D6170"/>
    <w:rsid w:val="004E3B78"/>
    <w:rsid w:val="004E63CE"/>
    <w:rsid w:val="004F0F7B"/>
    <w:rsid w:val="004F720D"/>
    <w:rsid w:val="004F7E3D"/>
    <w:rsid w:val="00500BA0"/>
    <w:rsid w:val="0050171F"/>
    <w:rsid w:val="00501C4F"/>
    <w:rsid w:val="005037C4"/>
    <w:rsid w:val="005038DE"/>
    <w:rsid w:val="005073B0"/>
    <w:rsid w:val="00511F85"/>
    <w:rsid w:val="00513E4B"/>
    <w:rsid w:val="005140C3"/>
    <w:rsid w:val="0051424F"/>
    <w:rsid w:val="0051530A"/>
    <w:rsid w:val="00516008"/>
    <w:rsid w:val="00517D7B"/>
    <w:rsid w:val="00521DCC"/>
    <w:rsid w:val="00522BB4"/>
    <w:rsid w:val="00526587"/>
    <w:rsid w:val="00532993"/>
    <w:rsid w:val="00535BD2"/>
    <w:rsid w:val="00535F27"/>
    <w:rsid w:val="00536031"/>
    <w:rsid w:val="0053625D"/>
    <w:rsid w:val="00541974"/>
    <w:rsid w:val="00543A47"/>
    <w:rsid w:val="00543D19"/>
    <w:rsid w:val="0054404F"/>
    <w:rsid w:val="0054414D"/>
    <w:rsid w:val="00545EAF"/>
    <w:rsid w:val="00550F86"/>
    <w:rsid w:val="005528B3"/>
    <w:rsid w:val="0055301C"/>
    <w:rsid w:val="005536E4"/>
    <w:rsid w:val="0055476A"/>
    <w:rsid w:val="0055541C"/>
    <w:rsid w:val="00562481"/>
    <w:rsid w:val="00562EFF"/>
    <w:rsid w:val="00566B65"/>
    <w:rsid w:val="00573CAC"/>
    <w:rsid w:val="00575085"/>
    <w:rsid w:val="00575DA4"/>
    <w:rsid w:val="005776E4"/>
    <w:rsid w:val="005815A5"/>
    <w:rsid w:val="00582F5E"/>
    <w:rsid w:val="00583744"/>
    <w:rsid w:val="00583ECE"/>
    <w:rsid w:val="00584218"/>
    <w:rsid w:val="0058704C"/>
    <w:rsid w:val="00590A22"/>
    <w:rsid w:val="005937DA"/>
    <w:rsid w:val="00593AB1"/>
    <w:rsid w:val="00595224"/>
    <w:rsid w:val="005A14C4"/>
    <w:rsid w:val="005A24C2"/>
    <w:rsid w:val="005A298B"/>
    <w:rsid w:val="005A445F"/>
    <w:rsid w:val="005A5CA9"/>
    <w:rsid w:val="005B3C5B"/>
    <w:rsid w:val="005C3EE1"/>
    <w:rsid w:val="005C4FC6"/>
    <w:rsid w:val="005C5643"/>
    <w:rsid w:val="005C7BEF"/>
    <w:rsid w:val="005C7E24"/>
    <w:rsid w:val="005D0DD3"/>
    <w:rsid w:val="005D1344"/>
    <w:rsid w:val="005D13BD"/>
    <w:rsid w:val="005D2ACA"/>
    <w:rsid w:val="005D3605"/>
    <w:rsid w:val="005D53E1"/>
    <w:rsid w:val="005D5761"/>
    <w:rsid w:val="005D66C0"/>
    <w:rsid w:val="005E01A1"/>
    <w:rsid w:val="005E0736"/>
    <w:rsid w:val="005E1FA7"/>
    <w:rsid w:val="005E2F22"/>
    <w:rsid w:val="005E6920"/>
    <w:rsid w:val="005F09B9"/>
    <w:rsid w:val="005F27D2"/>
    <w:rsid w:val="005F43AC"/>
    <w:rsid w:val="005F704C"/>
    <w:rsid w:val="005F71BB"/>
    <w:rsid w:val="00601FDA"/>
    <w:rsid w:val="00602CFC"/>
    <w:rsid w:val="006048AA"/>
    <w:rsid w:val="00605F5C"/>
    <w:rsid w:val="006174F7"/>
    <w:rsid w:val="006203B1"/>
    <w:rsid w:val="00621388"/>
    <w:rsid w:val="006313FF"/>
    <w:rsid w:val="00632E91"/>
    <w:rsid w:val="0063666A"/>
    <w:rsid w:val="00637697"/>
    <w:rsid w:val="006377A7"/>
    <w:rsid w:val="006414A4"/>
    <w:rsid w:val="00644FD1"/>
    <w:rsid w:val="0065525D"/>
    <w:rsid w:val="006571F5"/>
    <w:rsid w:val="00664139"/>
    <w:rsid w:val="006665EA"/>
    <w:rsid w:val="00670435"/>
    <w:rsid w:val="006711FF"/>
    <w:rsid w:val="0067316E"/>
    <w:rsid w:val="0067583F"/>
    <w:rsid w:val="00676D1D"/>
    <w:rsid w:val="0068421A"/>
    <w:rsid w:val="0068471F"/>
    <w:rsid w:val="00686688"/>
    <w:rsid w:val="006967B5"/>
    <w:rsid w:val="0069734D"/>
    <w:rsid w:val="00697796"/>
    <w:rsid w:val="00697E52"/>
    <w:rsid w:val="006A35CF"/>
    <w:rsid w:val="006A37A8"/>
    <w:rsid w:val="006A3D01"/>
    <w:rsid w:val="006A60EF"/>
    <w:rsid w:val="006A77B4"/>
    <w:rsid w:val="006A7B83"/>
    <w:rsid w:val="006B139E"/>
    <w:rsid w:val="006B7AA6"/>
    <w:rsid w:val="006C1B87"/>
    <w:rsid w:val="006C1CFE"/>
    <w:rsid w:val="006C2EC1"/>
    <w:rsid w:val="006C593B"/>
    <w:rsid w:val="006C5C50"/>
    <w:rsid w:val="006D0728"/>
    <w:rsid w:val="006E072C"/>
    <w:rsid w:val="006E1CB4"/>
    <w:rsid w:val="006E1FA9"/>
    <w:rsid w:val="006E40DE"/>
    <w:rsid w:val="006E64DF"/>
    <w:rsid w:val="006E7F58"/>
    <w:rsid w:val="006F10B9"/>
    <w:rsid w:val="006F192E"/>
    <w:rsid w:val="006F6D49"/>
    <w:rsid w:val="006F76F8"/>
    <w:rsid w:val="00701B29"/>
    <w:rsid w:val="00702AB2"/>
    <w:rsid w:val="007048F9"/>
    <w:rsid w:val="00705FC1"/>
    <w:rsid w:val="00707120"/>
    <w:rsid w:val="00711ED3"/>
    <w:rsid w:val="00713F93"/>
    <w:rsid w:val="00714DB6"/>
    <w:rsid w:val="007153CB"/>
    <w:rsid w:val="0071685A"/>
    <w:rsid w:val="007176AE"/>
    <w:rsid w:val="007204C9"/>
    <w:rsid w:val="00720E50"/>
    <w:rsid w:val="00722CB9"/>
    <w:rsid w:val="00722F81"/>
    <w:rsid w:val="00722F99"/>
    <w:rsid w:val="007253B5"/>
    <w:rsid w:val="00727767"/>
    <w:rsid w:val="00731513"/>
    <w:rsid w:val="00732010"/>
    <w:rsid w:val="00733C13"/>
    <w:rsid w:val="007343EC"/>
    <w:rsid w:val="00734FC7"/>
    <w:rsid w:val="0073561D"/>
    <w:rsid w:val="00735976"/>
    <w:rsid w:val="00736DB1"/>
    <w:rsid w:val="00747A6E"/>
    <w:rsid w:val="0075067D"/>
    <w:rsid w:val="00756439"/>
    <w:rsid w:val="00760775"/>
    <w:rsid w:val="00762112"/>
    <w:rsid w:val="00763894"/>
    <w:rsid w:val="007737B4"/>
    <w:rsid w:val="00774741"/>
    <w:rsid w:val="00776741"/>
    <w:rsid w:val="007812AE"/>
    <w:rsid w:val="00783B35"/>
    <w:rsid w:val="00783E69"/>
    <w:rsid w:val="00790ECD"/>
    <w:rsid w:val="0079100A"/>
    <w:rsid w:val="00794DD5"/>
    <w:rsid w:val="00795200"/>
    <w:rsid w:val="007A0519"/>
    <w:rsid w:val="007A0ED6"/>
    <w:rsid w:val="007A0F68"/>
    <w:rsid w:val="007A13D3"/>
    <w:rsid w:val="007A5608"/>
    <w:rsid w:val="007B1346"/>
    <w:rsid w:val="007B2A03"/>
    <w:rsid w:val="007B7F33"/>
    <w:rsid w:val="007C1A16"/>
    <w:rsid w:val="007C3B22"/>
    <w:rsid w:val="007C5ED1"/>
    <w:rsid w:val="007C5FD0"/>
    <w:rsid w:val="007D2453"/>
    <w:rsid w:val="007D2B9B"/>
    <w:rsid w:val="007D355E"/>
    <w:rsid w:val="007D6F6F"/>
    <w:rsid w:val="007D7C9C"/>
    <w:rsid w:val="007E079C"/>
    <w:rsid w:val="007E5263"/>
    <w:rsid w:val="007E5D3C"/>
    <w:rsid w:val="007E5EF1"/>
    <w:rsid w:val="007E6449"/>
    <w:rsid w:val="007F0025"/>
    <w:rsid w:val="007F053B"/>
    <w:rsid w:val="007F0661"/>
    <w:rsid w:val="007F084E"/>
    <w:rsid w:val="007F18BF"/>
    <w:rsid w:val="007F42D8"/>
    <w:rsid w:val="007F4929"/>
    <w:rsid w:val="007F5A27"/>
    <w:rsid w:val="007F6290"/>
    <w:rsid w:val="00805D61"/>
    <w:rsid w:val="0080639B"/>
    <w:rsid w:val="008069C9"/>
    <w:rsid w:val="00816652"/>
    <w:rsid w:val="00824A73"/>
    <w:rsid w:val="00826E7D"/>
    <w:rsid w:val="00827367"/>
    <w:rsid w:val="00830AD9"/>
    <w:rsid w:val="00830AF2"/>
    <w:rsid w:val="0083307A"/>
    <w:rsid w:val="00834C81"/>
    <w:rsid w:val="00841476"/>
    <w:rsid w:val="008448B5"/>
    <w:rsid w:val="008511D8"/>
    <w:rsid w:val="0085369A"/>
    <w:rsid w:val="00855624"/>
    <w:rsid w:val="00861633"/>
    <w:rsid w:val="00861BD0"/>
    <w:rsid w:val="00863CFF"/>
    <w:rsid w:val="00866115"/>
    <w:rsid w:val="0087545C"/>
    <w:rsid w:val="008771FE"/>
    <w:rsid w:val="00880199"/>
    <w:rsid w:val="008812BB"/>
    <w:rsid w:val="008814A4"/>
    <w:rsid w:val="0088235D"/>
    <w:rsid w:val="008856C5"/>
    <w:rsid w:val="00890AB7"/>
    <w:rsid w:val="00890F82"/>
    <w:rsid w:val="00891B40"/>
    <w:rsid w:val="0089749A"/>
    <w:rsid w:val="00897C63"/>
    <w:rsid w:val="008A00E5"/>
    <w:rsid w:val="008A0EC2"/>
    <w:rsid w:val="008A3237"/>
    <w:rsid w:val="008A328D"/>
    <w:rsid w:val="008A5418"/>
    <w:rsid w:val="008A55AE"/>
    <w:rsid w:val="008B06BB"/>
    <w:rsid w:val="008B181F"/>
    <w:rsid w:val="008B1B5F"/>
    <w:rsid w:val="008B51AF"/>
    <w:rsid w:val="008C2B27"/>
    <w:rsid w:val="008C642B"/>
    <w:rsid w:val="008C7B5A"/>
    <w:rsid w:val="008D0006"/>
    <w:rsid w:val="008D10D3"/>
    <w:rsid w:val="008D1EF7"/>
    <w:rsid w:val="008D26E0"/>
    <w:rsid w:val="008D34DB"/>
    <w:rsid w:val="008D61B0"/>
    <w:rsid w:val="008D755C"/>
    <w:rsid w:val="008E1572"/>
    <w:rsid w:val="008E73E7"/>
    <w:rsid w:val="008F1948"/>
    <w:rsid w:val="008F1EFD"/>
    <w:rsid w:val="008F3122"/>
    <w:rsid w:val="008F36BA"/>
    <w:rsid w:val="008F4787"/>
    <w:rsid w:val="008F6D17"/>
    <w:rsid w:val="008F7FD0"/>
    <w:rsid w:val="00901A6D"/>
    <w:rsid w:val="009054B7"/>
    <w:rsid w:val="0091049E"/>
    <w:rsid w:val="009116C1"/>
    <w:rsid w:val="009117B2"/>
    <w:rsid w:val="009152AC"/>
    <w:rsid w:val="00916424"/>
    <w:rsid w:val="00917205"/>
    <w:rsid w:val="0091740C"/>
    <w:rsid w:val="009211EF"/>
    <w:rsid w:val="009235A0"/>
    <w:rsid w:val="00927D84"/>
    <w:rsid w:val="00930B24"/>
    <w:rsid w:val="00930CA6"/>
    <w:rsid w:val="00932106"/>
    <w:rsid w:val="00933089"/>
    <w:rsid w:val="009334BA"/>
    <w:rsid w:val="009337FD"/>
    <w:rsid w:val="00937575"/>
    <w:rsid w:val="00941F97"/>
    <w:rsid w:val="00943599"/>
    <w:rsid w:val="00944C07"/>
    <w:rsid w:val="00945626"/>
    <w:rsid w:val="00947794"/>
    <w:rsid w:val="009551F0"/>
    <w:rsid w:val="009557F4"/>
    <w:rsid w:val="00957A50"/>
    <w:rsid w:val="009615C2"/>
    <w:rsid w:val="00965D13"/>
    <w:rsid w:val="00965DE3"/>
    <w:rsid w:val="0097118B"/>
    <w:rsid w:val="00971B02"/>
    <w:rsid w:val="009725F6"/>
    <w:rsid w:val="00974902"/>
    <w:rsid w:val="00975D2C"/>
    <w:rsid w:val="009761A5"/>
    <w:rsid w:val="00983F58"/>
    <w:rsid w:val="0098456D"/>
    <w:rsid w:val="0098545B"/>
    <w:rsid w:val="00985C9E"/>
    <w:rsid w:val="0099517F"/>
    <w:rsid w:val="009A0CB7"/>
    <w:rsid w:val="009A3145"/>
    <w:rsid w:val="009A4CD1"/>
    <w:rsid w:val="009A6D40"/>
    <w:rsid w:val="009B18A8"/>
    <w:rsid w:val="009B18D0"/>
    <w:rsid w:val="009B31F0"/>
    <w:rsid w:val="009B3A66"/>
    <w:rsid w:val="009C0E2A"/>
    <w:rsid w:val="009C20D1"/>
    <w:rsid w:val="009D271A"/>
    <w:rsid w:val="009D27D6"/>
    <w:rsid w:val="009D49DF"/>
    <w:rsid w:val="009D4C9D"/>
    <w:rsid w:val="009E23E9"/>
    <w:rsid w:val="009E4BDD"/>
    <w:rsid w:val="009E6FD5"/>
    <w:rsid w:val="009F120E"/>
    <w:rsid w:val="009F358B"/>
    <w:rsid w:val="009F38FF"/>
    <w:rsid w:val="009F4FBB"/>
    <w:rsid w:val="009F5550"/>
    <w:rsid w:val="009F5BEC"/>
    <w:rsid w:val="009F6281"/>
    <w:rsid w:val="00A00E22"/>
    <w:rsid w:val="00A05441"/>
    <w:rsid w:val="00A05527"/>
    <w:rsid w:val="00A05C01"/>
    <w:rsid w:val="00A109DE"/>
    <w:rsid w:val="00A12772"/>
    <w:rsid w:val="00A13642"/>
    <w:rsid w:val="00A2665C"/>
    <w:rsid w:val="00A4147E"/>
    <w:rsid w:val="00A43B78"/>
    <w:rsid w:val="00A46DE9"/>
    <w:rsid w:val="00A47250"/>
    <w:rsid w:val="00A50BAD"/>
    <w:rsid w:val="00A50DED"/>
    <w:rsid w:val="00A5340C"/>
    <w:rsid w:val="00A54A32"/>
    <w:rsid w:val="00A56272"/>
    <w:rsid w:val="00A56E6D"/>
    <w:rsid w:val="00A57011"/>
    <w:rsid w:val="00A57648"/>
    <w:rsid w:val="00A57AE1"/>
    <w:rsid w:val="00A63167"/>
    <w:rsid w:val="00A72600"/>
    <w:rsid w:val="00A74915"/>
    <w:rsid w:val="00A75624"/>
    <w:rsid w:val="00A771B3"/>
    <w:rsid w:val="00A82F18"/>
    <w:rsid w:val="00A8306B"/>
    <w:rsid w:val="00A84DEE"/>
    <w:rsid w:val="00A85C0A"/>
    <w:rsid w:val="00A86387"/>
    <w:rsid w:val="00A9141E"/>
    <w:rsid w:val="00A91C27"/>
    <w:rsid w:val="00A925A7"/>
    <w:rsid w:val="00A94B04"/>
    <w:rsid w:val="00A9552D"/>
    <w:rsid w:val="00A968F1"/>
    <w:rsid w:val="00AA1603"/>
    <w:rsid w:val="00AA2FA2"/>
    <w:rsid w:val="00AA4AA3"/>
    <w:rsid w:val="00AA75B8"/>
    <w:rsid w:val="00AA7B31"/>
    <w:rsid w:val="00AA7C50"/>
    <w:rsid w:val="00AB270D"/>
    <w:rsid w:val="00AB5AE1"/>
    <w:rsid w:val="00AC14EF"/>
    <w:rsid w:val="00AC6856"/>
    <w:rsid w:val="00AD5481"/>
    <w:rsid w:val="00AD5A95"/>
    <w:rsid w:val="00AD62D1"/>
    <w:rsid w:val="00AE03AB"/>
    <w:rsid w:val="00AE1A07"/>
    <w:rsid w:val="00AE1A3E"/>
    <w:rsid w:val="00AE1DCF"/>
    <w:rsid w:val="00AE2316"/>
    <w:rsid w:val="00AE6733"/>
    <w:rsid w:val="00AE79E6"/>
    <w:rsid w:val="00AF1CDF"/>
    <w:rsid w:val="00AF39BD"/>
    <w:rsid w:val="00AF5AB3"/>
    <w:rsid w:val="00B00EB4"/>
    <w:rsid w:val="00B05F0D"/>
    <w:rsid w:val="00B07AF3"/>
    <w:rsid w:val="00B07C9E"/>
    <w:rsid w:val="00B07FC6"/>
    <w:rsid w:val="00B11057"/>
    <w:rsid w:val="00B1127B"/>
    <w:rsid w:val="00B1187E"/>
    <w:rsid w:val="00B159E7"/>
    <w:rsid w:val="00B20C6D"/>
    <w:rsid w:val="00B27475"/>
    <w:rsid w:val="00B33FB2"/>
    <w:rsid w:val="00B34042"/>
    <w:rsid w:val="00B362FE"/>
    <w:rsid w:val="00B3765D"/>
    <w:rsid w:val="00B52706"/>
    <w:rsid w:val="00B56913"/>
    <w:rsid w:val="00B579C6"/>
    <w:rsid w:val="00B608EA"/>
    <w:rsid w:val="00B630D1"/>
    <w:rsid w:val="00B64130"/>
    <w:rsid w:val="00B662E1"/>
    <w:rsid w:val="00B67A7C"/>
    <w:rsid w:val="00B67A9A"/>
    <w:rsid w:val="00B71BB8"/>
    <w:rsid w:val="00B71EA8"/>
    <w:rsid w:val="00B74D76"/>
    <w:rsid w:val="00B76176"/>
    <w:rsid w:val="00B77EB5"/>
    <w:rsid w:val="00B77F60"/>
    <w:rsid w:val="00B8459C"/>
    <w:rsid w:val="00B87ECA"/>
    <w:rsid w:val="00B90B57"/>
    <w:rsid w:val="00B9227F"/>
    <w:rsid w:val="00B95212"/>
    <w:rsid w:val="00BA0F00"/>
    <w:rsid w:val="00BA3B2F"/>
    <w:rsid w:val="00BA3CE3"/>
    <w:rsid w:val="00BA4028"/>
    <w:rsid w:val="00BB0684"/>
    <w:rsid w:val="00BB50A9"/>
    <w:rsid w:val="00BB70F6"/>
    <w:rsid w:val="00BC03A7"/>
    <w:rsid w:val="00BC3031"/>
    <w:rsid w:val="00BC3367"/>
    <w:rsid w:val="00BC39DE"/>
    <w:rsid w:val="00BC6263"/>
    <w:rsid w:val="00BC7ED2"/>
    <w:rsid w:val="00BD07C3"/>
    <w:rsid w:val="00BD1C3F"/>
    <w:rsid w:val="00BD254D"/>
    <w:rsid w:val="00BD6FF3"/>
    <w:rsid w:val="00BD7DB5"/>
    <w:rsid w:val="00BE11A3"/>
    <w:rsid w:val="00BE4084"/>
    <w:rsid w:val="00BE6226"/>
    <w:rsid w:val="00BE691B"/>
    <w:rsid w:val="00BF33E1"/>
    <w:rsid w:val="00BF4661"/>
    <w:rsid w:val="00C00329"/>
    <w:rsid w:val="00C028EA"/>
    <w:rsid w:val="00C02FDD"/>
    <w:rsid w:val="00C04022"/>
    <w:rsid w:val="00C065B2"/>
    <w:rsid w:val="00C07B18"/>
    <w:rsid w:val="00C10A41"/>
    <w:rsid w:val="00C14257"/>
    <w:rsid w:val="00C15A3F"/>
    <w:rsid w:val="00C26561"/>
    <w:rsid w:val="00C27144"/>
    <w:rsid w:val="00C27968"/>
    <w:rsid w:val="00C306A2"/>
    <w:rsid w:val="00C3096E"/>
    <w:rsid w:val="00C3186E"/>
    <w:rsid w:val="00C319E4"/>
    <w:rsid w:val="00C31B30"/>
    <w:rsid w:val="00C34662"/>
    <w:rsid w:val="00C453F0"/>
    <w:rsid w:val="00C53E68"/>
    <w:rsid w:val="00C56323"/>
    <w:rsid w:val="00C57162"/>
    <w:rsid w:val="00C578ED"/>
    <w:rsid w:val="00C6174C"/>
    <w:rsid w:val="00C6301A"/>
    <w:rsid w:val="00C65173"/>
    <w:rsid w:val="00C708E3"/>
    <w:rsid w:val="00C72801"/>
    <w:rsid w:val="00C740B9"/>
    <w:rsid w:val="00C7469D"/>
    <w:rsid w:val="00C762F7"/>
    <w:rsid w:val="00C770FC"/>
    <w:rsid w:val="00C87F3A"/>
    <w:rsid w:val="00C915AD"/>
    <w:rsid w:val="00C9198A"/>
    <w:rsid w:val="00C92413"/>
    <w:rsid w:val="00C96377"/>
    <w:rsid w:val="00CA167D"/>
    <w:rsid w:val="00CA36CC"/>
    <w:rsid w:val="00CA5B30"/>
    <w:rsid w:val="00CA6D72"/>
    <w:rsid w:val="00CB40CF"/>
    <w:rsid w:val="00CB5237"/>
    <w:rsid w:val="00CB6234"/>
    <w:rsid w:val="00CB710E"/>
    <w:rsid w:val="00CC18F7"/>
    <w:rsid w:val="00CC7B29"/>
    <w:rsid w:val="00CC7ED7"/>
    <w:rsid w:val="00CD31A3"/>
    <w:rsid w:val="00CD5FB1"/>
    <w:rsid w:val="00CD6433"/>
    <w:rsid w:val="00CD7374"/>
    <w:rsid w:val="00CD7804"/>
    <w:rsid w:val="00CE3DED"/>
    <w:rsid w:val="00CE429D"/>
    <w:rsid w:val="00CF2149"/>
    <w:rsid w:val="00CF3690"/>
    <w:rsid w:val="00CF5811"/>
    <w:rsid w:val="00CF644E"/>
    <w:rsid w:val="00CF6C76"/>
    <w:rsid w:val="00CF7F0C"/>
    <w:rsid w:val="00D00035"/>
    <w:rsid w:val="00D00EFE"/>
    <w:rsid w:val="00D01A79"/>
    <w:rsid w:val="00D03B0D"/>
    <w:rsid w:val="00D04E3E"/>
    <w:rsid w:val="00D070E7"/>
    <w:rsid w:val="00D074BF"/>
    <w:rsid w:val="00D07A5B"/>
    <w:rsid w:val="00D1585B"/>
    <w:rsid w:val="00D168A6"/>
    <w:rsid w:val="00D220FE"/>
    <w:rsid w:val="00D2220F"/>
    <w:rsid w:val="00D243B1"/>
    <w:rsid w:val="00D2637F"/>
    <w:rsid w:val="00D264DF"/>
    <w:rsid w:val="00D30364"/>
    <w:rsid w:val="00D32F2E"/>
    <w:rsid w:val="00D3330B"/>
    <w:rsid w:val="00D357B8"/>
    <w:rsid w:val="00D35B8F"/>
    <w:rsid w:val="00D37801"/>
    <w:rsid w:val="00D42ACC"/>
    <w:rsid w:val="00D45576"/>
    <w:rsid w:val="00D46C01"/>
    <w:rsid w:val="00D515AA"/>
    <w:rsid w:val="00D52A98"/>
    <w:rsid w:val="00D5309F"/>
    <w:rsid w:val="00D54140"/>
    <w:rsid w:val="00D54970"/>
    <w:rsid w:val="00D55CA8"/>
    <w:rsid w:val="00D56FDA"/>
    <w:rsid w:val="00D57608"/>
    <w:rsid w:val="00D6046E"/>
    <w:rsid w:val="00D61C2D"/>
    <w:rsid w:val="00D61EF9"/>
    <w:rsid w:val="00D62975"/>
    <w:rsid w:val="00D6323C"/>
    <w:rsid w:val="00D6461D"/>
    <w:rsid w:val="00D65EDC"/>
    <w:rsid w:val="00D673E5"/>
    <w:rsid w:val="00D73B0E"/>
    <w:rsid w:val="00D7440E"/>
    <w:rsid w:val="00D7640F"/>
    <w:rsid w:val="00D83A53"/>
    <w:rsid w:val="00D83B94"/>
    <w:rsid w:val="00D92B63"/>
    <w:rsid w:val="00D92E37"/>
    <w:rsid w:val="00D93F4D"/>
    <w:rsid w:val="00DA172E"/>
    <w:rsid w:val="00DA1B0A"/>
    <w:rsid w:val="00DA1B2C"/>
    <w:rsid w:val="00DA5879"/>
    <w:rsid w:val="00DA6731"/>
    <w:rsid w:val="00DB0B28"/>
    <w:rsid w:val="00DB257E"/>
    <w:rsid w:val="00DC0E75"/>
    <w:rsid w:val="00DC228C"/>
    <w:rsid w:val="00DC28BD"/>
    <w:rsid w:val="00DC7563"/>
    <w:rsid w:val="00DD1040"/>
    <w:rsid w:val="00DD19D6"/>
    <w:rsid w:val="00DD26AA"/>
    <w:rsid w:val="00DD36DA"/>
    <w:rsid w:val="00DD55C7"/>
    <w:rsid w:val="00DD79CF"/>
    <w:rsid w:val="00DE0046"/>
    <w:rsid w:val="00DE0DCE"/>
    <w:rsid w:val="00DE35E3"/>
    <w:rsid w:val="00DF211B"/>
    <w:rsid w:val="00DF3CCE"/>
    <w:rsid w:val="00DF774B"/>
    <w:rsid w:val="00DF7CF9"/>
    <w:rsid w:val="00E00B98"/>
    <w:rsid w:val="00E059CF"/>
    <w:rsid w:val="00E1134C"/>
    <w:rsid w:val="00E12316"/>
    <w:rsid w:val="00E16DDC"/>
    <w:rsid w:val="00E16F3C"/>
    <w:rsid w:val="00E1785F"/>
    <w:rsid w:val="00E179F7"/>
    <w:rsid w:val="00E21795"/>
    <w:rsid w:val="00E21B71"/>
    <w:rsid w:val="00E21B7F"/>
    <w:rsid w:val="00E24175"/>
    <w:rsid w:val="00E2674E"/>
    <w:rsid w:val="00E2794C"/>
    <w:rsid w:val="00E34989"/>
    <w:rsid w:val="00E34FF3"/>
    <w:rsid w:val="00E36003"/>
    <w:rsid w:val="00E36838"/>
    <w:rsid w:val="00E404F0"/>
    <w:rsid w:val="00E4070F"/>
    <w:rsid w:val="00E4151E"/>
    <w:rsid w:val="00E4191B"/>
    <w:rsid w:val="00E425B7"/>
    <w:rsid w:val="00E44B58"/>
    <w:rsid w:val="00E52A5A"/>
    <w:rsid w:val="00E551F9"/>
    <w:rsid w:val="00E5633D"/>
    <w:rsid w:val="00E570E4"/>
    <w:rsid w:val="00E60934"/>
    <w:rsid w:val="00E612E2"/>
    <w:rsid w:val="00E6218B"/>
    <w:rsid w:val="00E721F9"/>
    <w:rsid w:val="00E72509"/>
    <w:rsid w:val="00E72D31"/>
    <w:rsid w:val="00E74698"/>
    <w:rsid w:val="00E74B8B"/>
    <w:rsid w:val="00E756CC"/>
    <w:rsid w:val="00E82F62"/>
    <w:rsid w:val="00E838FE"/>
    <w:rsid w:val="00E84D5D"/>
    <w:rsid w:val="00E90B08"/>
    <w:rsid w:val="00E910F1"/>
    <w:rsid w:val="00E92721"/>
    <w:rsid w:val="00E94E3D"/>
    <w:rsid w:val="00E95688"/>
    <w:rsid w:val="00E96C46"/>
    <w:rsid w:val="00EA33FE"/>
    <w:rsid w:val="00EA3610"/>
    <w:rsid w:val="00EB3243"/>
    <w:rsid w:val="00EB32EC"/>
    <w:rsid w:val="00EB36D9"/>
    <w:rsid w:val="00EB7372"/>
    <w:rsid w:val="00EC0F9E"/>
    <w:rsid w:val="00EC2342"/>
    <w:rsid w:val="00ED1654"/>
    <w:rsid w:val="00ED172B"/>
    <w:rsid w:val="00ED1CE9"/>
    <w:rsid w:val="00ED2335"/>
    <w:rsid w:val="00ED5F17"/>
    <w:rsid w:val="00ED6F3D"/>
    <w:rsid w:val="00EE0BE5"/>
    <w:rsid w:val="00EE0DE8"/>
    <w:rsid w:val="00EE0F64"/>
    <w:rsid w:val="00EE5ADC"/>
    <w:rsid w:val="00EE5D39"/>
    <w:rsid w:val="00EE6ACC"/>
    <w:rsid w:val="00EF00EF"/>
    <w:rsid w:val="00EF2A21"/>
    <w:rsid w:val="00EF4A26"/>
    <w:rsid w:val="00EF5023"/>
    <w:rsid w:val="00EF520F"/>
    <w:rsid w:val="00EF5982"/>
    <w:rsid w:val="00EF6E50"/>
    <w:rsid w:val="00F01FC2"/>
    <w:rsid w:val="00F03024"/>
    <w:rsid w:val="00F06292"/>
    <w:rsid w:val="00F0672A"/>
    <w:rsid w:val="00F07D40"/>
    <w:rsid w:val="00F07F46"/>
    <w:rsid w:val="00F12D88"/>
    <w:rsid w:val="00F13BD1"/>
    <w:rsid w:val="00F15410"/>
    <w:rsid w:val="00F15509"/>
    <w:rsid w:val="00F155D0"/>
    <w:rsid w:val="00F205A4"/>
    <w:rsid w:val="00F20F87"/>
    <w:rsid w:val="00F24912"/>
    <w:rsid w:val="00F24B6A"/>
    <w:rsid w:val="00F3046E"/>
    <w:rsid w:val="00F30876"/>
    <w:rsid w:val="00F3183F"/>
    <w:rsid w:val="00F33A76"/>
    <w:rsid w:val="00F3473D"/>
    <w:rsid w:val="00F34824"/>
    <w:rsid w:val="00F3693D"/>
    <w:rsid w:val="00F40DDF"/>
    <w:rsid w:val="00F46A9B"/>
    <w:rsid w:val="00F53ADD"/>
    <w:rsid w:val="00F64674"/>
    <w:rsid w:val="00F64ED5"/>
    <w:rsid w:val="00F67559"/>
    <w:rsid w:val="00F7065F"/>
    <w:rsid w:val="00F70821"/>
    <w:rsid w:val="00F71111"/>
    <w:rsid w:val="00F71727"/>
    <w:rsid w:val="00F80BE3"/>
    <w:rsid w:val="00F81986"/>
    <w:rsid w:val="00F81CA5"/>
    <w:rsid w:val="00F855B3"/>
    <w:rsid w:val="00F855EF"/>
    <w:rsid w:val="00F860DC"/>
    <w:rsid w:val="00F92E9B"/>
    <w:rsid w:val="00F94D57"/>
    <w:rsid w:val="00F950B8"/>
    <w:rsid w:val="00FA4198"/>
    <w:rsid w:val="00FB00B7"/>
    <w:rsid w:val="00FB1621"/>
    <w:rsid w:val="00FB1C79"/>
    <w:rsid w:val="00FB3C36"/>
    <w:rsid w:val="00FB5C88"/>
    <w:rsid w:val="00FB61CC"/>
    <w:rsid w:val="00FB6644"/>
    <w:rsid w:val="00FC2FEF"/>
    <w:rsid w:val="00FC6996"/>
    <w:rsid w:val="00FC7495"/>
    <w:rsid w:val="00FD1419"/>
    <w:rsid w:val="00FD2A91"/>
    <w:rsid w:val="00FD4E72"/>
    <w:rsid w:val="00FD64A6"/>
    <w:rsid w:val="00FD7175"/>
    <w:rsid w:val="00FD76D1"/>
    <w:rsid w:val="00FE07FF"/>
    <w:rsid w:val="00FE0E2F"/>
    <w:rsid w:val="00FE3BE2"/>
    <w:rsid w:val="00FE3E4C"/>
    <w:rsid w:val="00FE7C8F"/>
    <w:rsid w:val="00FF5739"/>
    <w:rsid w:val="00FF5A9F"/>
    <w:rsid w:val="00FF6018"/>
    <w:rsid w:val="00FF6ACD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78D0C"/>
  <w15:docId w15:val="{B7D2C517-2E79-49A4-BB3A-71AFF1F9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E3E"/>
    <w:rPr>
      <w:sz w:val="24"/>
      <w:szCs w:val="24"/>
    </w:rPr>
  </w:style>
  <w:style w:type="paragraph" w:styleId="Cmsor1">
    <w:name w:val="heading 1"/>
    <w:basedOn w:val="Norml"/>
    <w:next w:val="Norml"/>
    <w:qFormat/>
    <w:rsid w:val="00F70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6641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9">
    <w:name w:val="heading 9"/>
    <w:basedOn w:val="Norml"/>
    <w:next w:val="Norml"/>
    <w:qFormat/>
    <w:rsid w:val="00D220FE"/>
    <w:pPr>
      <w:tabs>
        <w:tab w:val="left" w:pos="1978"/>
        <w:tab w:val="num" w:pos="11820"/>
      </w:tabs>
      <w:spacing w:before="240" w:after="60"/>
      <w:ind w:left="11820" w:right="12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725F6"/>
  </w:style>
  <w:style w:type="character" w:styleId="Hiperhivatkozs">
    <w:name w:val="Hyperlink"/>
    <w:basedOn w:val="Bekezdsalapbettpusa"/>
    <w:rsid w:val="009725F6"/>
    <w:rPr>
      <w:color w:val="0000FF"/>
      <w:u w:val="single"/>
    </w:rPr>
  </w:style>
  <w:style w:type="paragraph" w:styleId="lfej">
    <w:name w:val="header"/>
    <w:basedOn w:val="Norml"/>
    <w:rsid w:val="00DA1B0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DA1B0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E799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F7065F"/>
    <w:pPr>
      <w:spacing w:after="120"/>
    </w:pPr>
    <w:rPr>
      <w:rFonts w:ascii="Courier New" w:hAnsi="Courier New" w:cs="Courier New"/>
    </w:rPr>
  </w:style>
  <w:style w:type="paragraph" w:styleId="Lista2">
    <w:name w:val="List 2"/>
    <w:basedOn w:val="Norml"/>
    <w:rsid w:val="00F7065F"/>
    <w:pPr>
      <w:ind w:left="566" w:hanging="283"/>
    </w:pPr>
  </w:style>
  <w:style w:type="paragraph" w:styleId="Csakszveg">
    <w:name w:val="Plain Text"/>
    <w:basedOn w:val="Norml"/>
    <w:rsid w:val="00F7065F"/>
    <w:rPr>
      <w:rFonts w:ascii="Courier New" w:hAnsi="Courier New" w:cs="Courier New"/>
      <w:sz w:val="20"/>
      <w:szCs w:val="20"/>
    </w:rPr>
  </w:style>
  <w:style w:type="paragraph" w:customStyle="1" w:styleId="Szvegtrzs31">
    <w:name w:val="Szövegtörzs 31"/>
    <w:basedOn w:val="Norml"/>
    <w:rsid w:val="00D220FE"/>
    <w:pPr>
      <w:tabs>
        <w:tab w:val="center" w:pos="6804"/>
      </w:tabs>
      <w:ind w:right="12"/>
    </w:pPr>
    <w:rPr>
      <w:rFonts w:ascii="Verdana" w:hAnsi="Verdana" w:cs="Verdana"/>
      <w:b/>
      <w:bCs/>
      <w:sz w:val="16"/>
      <w:szCs w:val="20"/>
      <w:lang w:eastAsia="zh-CN"/>
    </w:rPr>
  </w:style>
  <w:style w:type="paragraph" w:styleId="Szvegtrzs2">
    <w:name w:val="Body Text 2"/>
    <w:basedOn w:val="Norml"/>
    <w:rsid w:val="00664139"/>
    <w:pPr>
      <w:spacing w:after="120" w:line="480" w:lineRule="auto"/>
    </w:pPr>
  </w:style>
  <w:style w:type="paragraph" w:styleId="Szvegtrzsbehzssal2">
    <w:name w:val="Body Text Indent 2"/>
    <w:basedOn w:val="Norml"/>
    <w:rsid w:val="00664139"/>
    <w:pPr>
      <w:spacing w:after="120" w:line="480" w:lineRule="auto"/>
      <w:ind w:left="283"/>
    </w:pPr>
  </w:style>
  <w:style w:type="paragraph" w:styleId="Szvegtrzs3">
    <w:name w:val="Body Text 3"/>
    <w:basedOn w:val="Norml"/>
    <w:rsid w:val="00664139"/>
    <w:pPr>
      <w:spacing w:after="120"/>
    </w:pPr>
    <w:rPr>
      <w:sz w:val="16"/>
      <w:szCs w:val="16"/>
    </w:rPr>
  </w:style>
  <w:style w:type="paragraph" w:styleId="NormlWeb">
    <w:name w:val="Normal (Web)"/>
    <w:basedOn w:val="Norml"/>
    <w:uiPriority w:val="99"/>
    <w:rsid w:val="00FD64A6"/>
    <w:pPr>
      <w:spacing w:before="100" w:beforeAutospacing="1" w:after="100" w:afterAutospacing="1"/>
    </w:pPr>
  </w:style>
  <w:style w:type="paragraph" w:customStyle="1" w:styleId="Default">
    <w:name w:val="Default"/>
    <w:rsid w:val="00084E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C571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qFormat/>
    <w:rsid w:val="00C57162"/>
    <w:pPr>
      <w:snapToGrid w:val="0"/>
      <w:jc w:val="center"/>
    </w:pPr>
    <w:rPr>
      <w:rFonts w:ascii="Arial" w:hAnsi="Arial"/>
      <w:szCs w:val="20"/>
    </w:rPr>
  </w:style>
  <w:style w:type="paragraph" w:customStyle="1" w:styleId="Szvegtrzs21">
    <w:name w:val="Szövegtörzs 21"/>
    <w:basedOn w:val="Norml"/>
    <w:rsid w:val="00C57162"/>
    <w:pPr>
      <w:ind w:left="426" w:hanging="426"/>
      <w:jc w:val="both"/>
    </w:pPr>
    <w:rPr>
      <w:szCs w:val="20"/>
    </w:rPr>
  </w:style>
  <w:style w:type="character" w:styleId="Kiemels2">
    <w:name w:val="Strong"/>
    <w:basedOn w:val="Bekezdsalapbettpusa"/>
    <w:uiPriority w:val="22"/>
    <w:qFormat/>
    <w:rsid w:val="00FE3E4C"/>
    <w:rPr>
      <w:b/>
      <w:bCs/>
    </w:rPr>
  </w:style>
  <w:style w:type="paragraph" w:styleId="Listaszerbekezds">
    <w:name w:val="List Paragraph"/>
    <w:basedOn w:val="Norml"/>
    <w:uiPriority w:val="34"/>
    <w:qFormat/>
    <w:rsid w:val="000C7349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BC03A7"/>
    <w:rPr>
      <w:sz w:val="24"/>
      <w:szCs w:val="24"/>
    </w:rPr>
  </w:style>
  <w:style w:type="paragraph" w:styleId="Nincstrkz">
    <w:name w:val="No Spacing"/>
    <w:basedOn w:val="Norml"/>
    <w:uiPriority w:val="1"/>
    <w:qFormat/>
    <w:rsid w:val="00BD1C3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90AF-60BE-4235-8AB9-EA708123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3667</Words>
  <Characters>25304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2021. évi költségvetési koncepció</vt:lpstr>
    </vt:vector>
  </TitlesOfParts>
  <Company>Polgármesteri Hivatal</Company>
  <LinksUpToDate>false</LinksUpToDate>
  <CharactersWithSpaces>28914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 évi költségvetési koncepció</dc:title>
  <dc:creator>vcsere</dc:creator>
  <cp:lastModifiedBy>Windows-felhasználó</cp:lastModifiedBy>
  <cp:revision>3</cp:revision>
  <cp:lastPrinted>2023-11-21T10:46:00Z</cp:lastPrinted>
  <dcterms:created xsi:type="dcterms:W3CDTF">2025-01-22T10:18:00Z</dcterms:created>
  <dcterms:modified xsi:type="dcterms:W3CDTF">2025-01-22T10:25:00Z</dcterms:modified>
</cp:coreProperties>
</file>